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3B" w:rsidRPr="0074283B" w:rsidRDefault="0074283B" w:rsidP="0074283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74283B" w:rsidRPr="0074283B" w:rsidRDefault="0074283B" w:rsidP="0074283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283B" w:rsidRPr="0074283B" w:rsidTr="00E64DC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Literatura</w:t>
            </w:r>
            <w:r w:rsidRPr="0074283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awangardy</w:t>
            </w: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i pogranicza</w:t>
            </w:r>
          </w:p>
        </w:tc>
      </w:tr>
      <w:tr w:rsidR="0074283B" w:rsidRPr="00FB19EE" w:rsidTr="00E64DC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Literature of avant-garde and borderland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4283B" w:rsidRPr="0074283B" w:rsidTr="00E64DC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4283B" w:rsidRPr="0074283B" w:rsidTr="00E64DC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 Paul M. Langner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4283B" w:rsidRPr="0074283B" w:rsidTr="00E64DC6">
        <w:trPr>
          <w:trHeight w:val="1365"/>
        </w:trPr>
        <w:tc>
          <w:tcPr>
            <w:tcW w:w="9640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awangardą literacką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w. 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głównymi motywami tego kierunku: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indywidualizmem, samotnością człowieka, brutalnością otaczającego świata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Ten interdyscyplinarny kurs zapozna 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tudentów z utworami literackimi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ale i opcjonalnie z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dziełami z dziedzin filozofii i psychologii, filmem, muzyką, sztuką i architekturą w kontekście społecznym, kulturowym i historyczno-politycznym.</w:t>
            </w:r>
            <w:r w:rsidR="00FB19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Kurs prowadzony jest w j. niemieckim.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krytycznej analizy i interpretacji utworów literackich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analizy kontekstu kulturowego, społecznego oraz historycznego i politycznego w odniesieniu do omawianych utworów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dzieła literackie w szerszym kontekście procesu historycznoliterackiego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uczestniczyć w dyskusji naukowej rozumiejąc specyfikę dyskursu literaturoznawczego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="Cambria" w:hAnsi="Helvetica" w:cs="Helvetica"/>
              </w:rPr>
            </w:pP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Helvetica" w:eastAsia="Cambria" w:hAnsi="Helvetica" w:cs="Helvetica"/>
              </w:rPr>
              <w:t xml:space="preserve">  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83B" w:rsidRPr="0074283B" w:rsidTr="00E64DC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74283B" w:rsidRPr="0074283B" w:rsidTr="00E64DC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 krytycznej analizy tekstów literackich, kompetencje językowe na poziomie C1</w:t>
            </w:r>
          </w:p>
        </w:tc>
      </w:tr>
      <w:tr w:rsidR="0074283B" w:rsidRPr="0074283B" w:rsidTr="00E64DC6">
        <w:tc>
          <w:tcPr>
            <w:tcW w:w="194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74283B" w:rsidRPr="0074283B" w:rsidRDefault="0074283B" w:rsidP="0074283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4283B" w:rsidRPr="0074283B" w:rsidTr="00E64DC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283B" w:rsidRPr="0074283B" w:rsidTr="00E64DC6">
        <w:trPr>
          <w:cantSplit/>
          <w:trHeight w:val="1838"/>
        </w:trPr>
        <w:tc>
          <w:tcPr>
            <w:tcW w:w="1979" w:type="dxa"/>
            <w:vMerge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W01: 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i rozumie zaawansowane metody analizy, interpretacji, wartościowania i problematyzowania utworów literackich 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W02: </w:t>
            </w:r>
            <w:r w:rsidRPr="0074283B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pogłębioną wiedzę o powiązaniach literaturoznawstwa  z innymi dyscyplinami nauki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</w:t>
            </w:r>
            <w:r w:rsidRPr="0074283B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zna i rozumie zaawansowane metody analizy, interpretacji, wartościowania i problematyzowania, różnych wytworów kultury właściwe dla wybranych tradycji, teorii lub szkół badawczych zajmujących się literaturoznawstwem 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W02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W05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K2_W07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283B" w:rsidRPr="0074283B" w:rsidTr="00E64DC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283B" w:rsidRPr="0074283B" w:rsidTr="00E64DC6">
        <w:trPr>
          <w:cantSplit/>
          <w:trHeight w:val="2116"/>
        </w:trPr>
        <w:tc>
          <w:tcPr>
            <w:tcW w:w="1985" w:type="dxa"/>
            <w:vMerge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analizować, oceniać, selekcjonować i integrować informacje dotyczące twórczości </w:t>
            </w: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oisarzy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niemieckich z wykorzystaniem tekstów literackich, przedstawień teatralnych oraz formułować na tej podstawie krytyczne sądy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posiada umiejętność integrowania wiedzy z zakresu literaturoznawstwa, kulturoznawstwa oraz historii i umie ją zastosować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U03: potrafi przeprowadzić krytyczną analizę i interpretację utworów literackich i umie określić ich znaczenie w kontekście literackim i kulturowym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U04: potrafi popularyzować wiedzę o literaturze niemieckojęzycznej</w:t>
            </w:r>
          </w:p>
        </w:tc>
        <w:tc>
          <w:tcPr>
            <w:tcW w:w="2410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K2_U01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K2_U04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K2_U05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K2_U08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283B" w:rsidRPr="0074283B" w:rsidTr="00E64DC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283B" w:rsidRPr="0074283B" w:rsidTr="00E64DC6">
        <w:trPr>
          <w:cantSplit/>
          <w:trHeight w:val="1404"/>
        </w:trPr>
        <w:tc>
          <w:tcPr>
            <w:tcW w:w="1985" w:type="dxa"/>
            <w:vMerge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K01:Rozumie potrzebę uczenia się przez całe życie oraz śledzenia współczesnych zjawisk kultury i literatury 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K02:Potrafi współdziałać i pracować w grupie, przyjmując w niej różne role.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K03: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odpowiednio określić priorytety służące realizacji określonego przez siebie lub innych zadania</w:t>
            </w:r>
            <w:r w:rsidRPr="0074283B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K2_K01  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K2_K05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4283B" w:rsidRPr="0074283B" w:rsidTr="00E64DC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4283B" w:rsidRPr="0074283B" w:rsidTr="00E64DC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4283B" w:rsidRPr="0074283B" w:rsidTr="00E64DC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trHeight w:val="462"/>
        </w:trPr>
        <w:tc>
          <w:tcPr>
            <w:tcW w:w="1611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83B" w:rsidRPr="0074283B" w:rsidTr="00E64DC6">
        <w:trPr>
          <w:trHeight w:val="1286"/>
        </w:trPr>
        <w:tc>
          <w:tcPr>
            <w:tcW w:w="9622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4283B" w:rsidRPr="0074283B" w:rsidTr="00E64DC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4283B" w:rsidRPr="0074283B" w:rsidTr="00E64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19EE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19EE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B19EE" w:rsidRPr="0074283B" w:rsidRDefault="00FB19EE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283B" w:rsidRPr="0074283B" w:rsidTr="00E64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83B" w:rsidRPr="0074283B" w:rsidTr="00E64DC6">
        <w:tc>
          <w:tcPr>
            <w:tcW w:w="194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zajęć, przygotowanie i wygłoszenie krótkiego referatu, </w:t>
            </w:r>
            <w:r w:rsidR="00FB19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udział w projekcie indywidualnym,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opcjonalnie 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 grupowy, pozytywny wynik egzaminu pisemnego.  </w:t>
            </w: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83B" w:rsidRPr="0074283B" w:rsidTr="00E64DC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4283B" w:rsidRPr="0074283B" w:rsidRDefault="0074283B" w:rsidP="0074283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83B" w:rsidRPr="0074283B" w:rsidTr="00A30256">
        <w:trPr>
          <w:trHeight w:val="3109"/>
        </w:trPr>
        <w:tc>
          <w:tcPr>
            <w:tcW w:w="9622" w:type="dxa"/>
          </w:tcPr>
          <w:p w:rsidR="0074283B" w:rsidRPr="0074283B" w:rsidRDefault="0074283B" w:rsidP="0074283B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lastRenderedPageBreak/>
              <w:t>Tematyka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zajęć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:</w:t>
            </w:r>
          </w:p>
          <w:p w:rsidR="0074283B" w:rsidRPr="0074283B" w:rsidRDefault="0074283B" w:rsidP="0074283B">
            <w:pPr>
              <w:spacing w:after="72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Literaturhistorische Positionen zur Literatur um 1900</w:t>
            </w:r>
          </w:p>
          <w:p w:rsidR="0074283B" w:rsidRPr="0074283B" w:rsidRDefault="0074283B" w:rsidP="00A30256">
            <w:pPr>
              <w:spacing w:after="72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Realismus/Naturalismus/Impressionismus/Symbolismus</w:t>
            </w:r>
          </w:p>
          <w:p w:rsidR="0074283B" w:rsidRPr="0074283B" w:rsidRDefault="0074283B" w:rsidP="0074283B">
            <w:pPr>
              <w:spacing w:after="72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Emancypacja kobiet i kobieca awangarda</w:t>
            </w:r>
          </w:p>
          <w:p w:rsidR="0074283B" w:rsidRPr="0074283B" w:rsidRDefault="0074283B" w:rsidP="0074283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Cambria" w:hAnsi="Arial" w:cs="Helvetica"/>
                <w:sz w:val="20"/>
                <w:lang w:val="de-DE"/>
              </w:rPr>
            </w:pPr>
            <w:r w:rsidRPr="0074283B">
              <w:rPr>
                <w:rFonts w:ascii="Arial" w:eastAsia="Cambria" w:hAnsi="Arial" w:cs="Helvetica"/>
                <w:sz w:val="20"/>
                <w:lang w:val="de-DE"/>
              </w:rPr>
              <w:t>Franziska zu Reventlow; Else Lasker-Schüler</w:t>
            </w:r>
          </w:p>
          <w:p w:rsidR="0074283B" w:rsidRPr="0074283B" w:rsidRDefault="0074283B" w:rsidP="0074283B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Elemente der Moderne in der Architektur und Musik</w:t>
            </w:r>
          </w:p>
          <w:p w:rsidR="0074283B" w:rsidRPr="0074283B" w:rsidRDefault="0074283B" w:rsidP="0074283B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Bauhaus als Konzept für Didaktik und Wahrnehmung</w:t>
            </w:r>
          </w:p>
          <w:p w:rsidR="0074283B" w:rsidRPr="0074283B" w:rsidRDefault="0074283B" w:rsidP="0074283B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Dadaismus</w:t>
            </w:r>
          </w:p>
          <w:p w:rsidR="0074283B" w:rsidRPr="0074283B" w:rsidRDefault="00A30256" w:rsidP="00A30256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>
              <w:rPr>
                <w:rFonts w:ascii="Arial" w:eastAsia="Cambria" w:hAnsi="Arial" w:cs="Times New Roman"/>
                <w:color w:val="222222"/>
                <w:sz w:val="20"/>
                <w:szCs w:val="32"/>
                <w:lang w:val="de-DE"/>
              </w:rPr>
              <w:t>‚Kaffeehäuser‘</w:t>
            </w:r>
          </w:p>
          <w:p w:rsidR="0074283B" w:rsidRPr="0074283B" w:rsidRDefault="00A30256" w:rsidP="0074283B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proofErr w:type="spellStart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Teatr</w:t>
            </w:r>
            <w:proofErr w:type="spellEnd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awangardowy</w:t>
            </w:r>
            <w:proofErr w:type="spellEnd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 XX </w:t>
            </w:r>
            <w:proofErr w:type="spellStart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wieku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teatr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postdramatyczny</w:t>
            </w:r>
            <w:proofErr w:type="spellEnd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 </w:t>
            </w:r>
            <w:r w:rsidR="0074283B"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(</w:t>
            </w:r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 xml:space="preserve">Bertolt Brecht, Edith Stein, Samuel Beckett, Peter Handke, Elfriede Jelinek i </w:t>
            </w:r>
            <w:proofErr w:type="spellStart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inni</w:t>
            </w:r>
            <w:proofErr w:type="spellEnd"/>
            <w:r w:rsidRPr="00A30256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)</w:t>
            </w:r>
            <w:r w:rsidR="0074283B"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)</w:t>
            </w:r>
          </w:p>
          <w:p w:rsidR="0074283B" w:rsidRPr="0074283B" w:rsidRDefault="0074283B" w:rsidP="00A30256">
            <w:pPr>
              <w:spacing w:after="0" w:line="240" w:lineRule="auto"/>
              <w:ind w:left="720"/>
              <w:contextualSpacing/>
              <w:rPr>
                <w:rFonts w:ascii="Arial" w:eastAsia="Cambria" w:hAnsi="Arial" w:cs="Helvetica"/>
                <w:sz w:val="20"/>
              </w:rPr>
            </w:pPr>
            <w:r w:rsidRPr="0074283B">
              <w:rPr>
                <w:rFonts w:ascii="Arial" w:eastAsia="Cambria" w:hAnsi="Arial" w:cs="Helvetica"/>
                <w:sz w:val="20"/>
              </w:rPr>
              <w:t>Literatura i nowe formy prezentacji (</w:t>
            </w:r>
            <w:r w:rsidR="00A30256">
              <w:rPr>
                <w:rFonts w:ascii="Arial" w:eastAsia="Cambria" w:hAnsi="Arial" w:cs="Helvetica"/>
                <w:sz w:val="20"/>
              </w:rPr>
              <w:t>np. kabaret</w:t>
            </w:r>
            <w:r w:rsidRPr="0074283B">
              <w:rPr>
                <w:rFonts w:ascii="Arial" w:eastAsia="Cambria" w:hAnsi="Arial" w:cs="Helvetica"/>
                <w:sz w:val="20"/>
              </w:rPr>
              <w:t>)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83B" w:rsidRPr="0074283B" w:rsidTr="00E64DC6">
        <w:trPr>
          <w:trHeight w:val="1986"/>
        </w:trPr>
        <w:tc>
          <w:tcPr>
            <w:tcW w:w="9622" w:type="dxa"/>
          </w:tcPr>
          <w:p w:rsidR="0074283B" w:rsidRPr="0074283B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Hauptmann, Gerhart: Bahnwärter Thiel. In: Gerhart Hauptmann: Erzählungen. Gütersloh, 1957.</w:t>
            </w:r>
          </w:p>
          <w:p w:rsidR="0074283B" w:rsidRPr="0074283B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Lyrik des Naturalismus. Hrsg.: Jürgen Schütte. Stuttgart, 1982.</w:t>
            </w:r>
          </w:p>
          <w:p w:rsidR="0074283B" w:rsidRPr="0074283B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Kästner, Erich: Fabian. 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Rainer Maria Rilke:</w:t>
            </w: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 Lyrik (Auswahl)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Franziska zu Reventlow: Der Geldkomplex. Oldenburg, 2005.</w:t>
            </w:r>
          </w:p>
          <w:p w:rsidR="0074283B" w:rsidRPr="0074283B" w:rsidRDefault="0074283B" w:rsidP="0074283B">
            <w:pPr>
              <w:keepNext/>
              <w:widowControl w:val="0"/>
              <w:shd w:val="clear" w:color="auto" w:fill="F0EEE4"/>
              <w:suppressAutoHyphens/>
              <w:spacing w:after="0" w:line="240" w:lineRule="auto"/>
              <w:outlineLvl w:val="0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Karl </w:t>
            </w:r>
            <w:proofErr w:type="spellStart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Bleibtreu</w:t>
            </w:r>
            <w:proofErr w:type="spellEnd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: </w:t>
            </w:r>
            <w:r w:rsidRPr="0074283B">
              <w:rPr>
                <w:rFonts w:ascii="Arial" w:eastAsia="Times New Roman" w:hAnsi="Arial" w:cs="Arial"/>
                <w:bCs/>
                <w:sz w:val="20"/>
                <w:szCs w:val="20"/>
                <w:lang w:val="de-DE" w:eastAsia="pl-PL"/>
              </w:rPr>
              <w:t xml:space="preserve">Die Verrohung der Literatur: Ein Beitrag zur Haupt- und </w:t>
            </w:r>
            <w:proofErr w:type="spellStart"/>
            <w:r w:rsidRPr="0074283B">
              <w:rPr>
                <w:rFonts w:ascii="Arial" w:eastAsia="Times New Roman" w:hAnsi="Arial" w:cs="Arial"/>
                <w:bCs/>
                <w:sz w:val="20"/>
                <w:szCs w:val="20"/>
                <w:lang w:val="de-DE" w:eastAsia="pl-PL"/>
              </w:rPr>
              <w:t>Sudermännerei</w:t>
            </w:r>
            <w:proofErr w:type="spellEnd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. Berlin 1903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Sigmund Freud: Die Traumdeutung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Hugo von Hofmannsthal: </w:t>
            </w:r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Ein Brief (1904) sowie „Elektra“ (</w:t>
            </w:r>
            <w:proofErr w:type="spellStart"/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Fragmenty</w:t>
            </w:r>
            <w:proofErr w:type="spellEnd"/>
            <w:r w:rsidRPr="0074283B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pl-PL"/>
              </w:rPr>
              <w:t>)</w:t>
            </w:r>
          </w:p>
          <w:p w:rsidR="0074283B" w:rsidRPr="0074283B" w:rsidRDefault="0074283B" w:rsidP="007428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Karl Kraus: Aphorismen (Auswahl) </w:t>
            </w:r>
          </w:p>
          <w:p w:rsidR="0074283B" w:rsidRPr="0074283B" w:rsidRDefault="0074283B" w:rsidP="0074283B">
            <w:pPr>
              <w:widowControl w:val="0"/>
              <w:shd w:val="clear" w:color="auto" w:fill="F0EEE4"/>
              <w:suppressAutoHyphens/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  <w:t xml:space="preserve">Naturalismus, Fin de </w:t>
            </w:r>
            <w:proofErr w:type="spellStart"/>
            <w:r w:rsidRPr="0074283B"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  <w:t>siècle</w:t>
            </w:r>
            <w:proofErr w:type="spellEnd"/>
            <w:r w:rsidRPr="0074283B"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  <w:t>, Expressionismus 1890-1918 / hrsg. York-</w:t>
            </w:r>
            <w:proofErr w:type="spellStart"/>
            <w:r w:rsidRPr="0074283B"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  <w:t>Gothart</w:t>
            </w:r>
            <w:proofErr w:type="spellEnd"/>
            <w:r w:rsidRPr="0074283B">
              <w:rPr>
                <w:rFonts w:ascii="Arial" w:eastAsia="Times New Roman" w:hAnsi="Arial" w:cs="Arial"/>
                <w:kern w:val="36"/>
                <w:sz w:val="20"/>
                <w:szCs w:val="20"/>
                <w:lang w:val="de-DE" w:eastAsia="pl-PL"/>
              </w:rPr>
              <w:t xml:space="preserve"> Mix. München/Wien: 2000</w:t>
            </w:r>
          </w:p>
          <w:p w:rsidR="0074283B" w:rsidRPr="0074283B" w:rsidRDefault="0074283B" w:rsidP="0074283B">
            <w:pPr>
              <w:keepNext/>
              <w:widowControl w:val="0"/>
              <w:shd w:val="clear" w:color="auto" w:fill="F0EEE4"/>
              <w:suppressAutoHyphens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bCs/>
                <w:sz w:val="20"/>
                <w:szCs w:val="20"/>
                <w:lang w:val="de-DE" w:eastAsia="pl-PL"/>
              </w:rPr>
              <w:t xml:space="preserve">Theorie des Naturalismus / hrsg. Theo Meyer. </w:t>
            </w:r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Stuttgart, 1973</w:t>
            </w:r>
          </w:p>
          <w:p w:rsidR="0074283B" w:rsidRPr="0074283B" w:rsidRDefault="0074283B" w:rsidP="0074283B">
            <w:pPr>
              <w:keepNext/>
              <w:widowControl w:val="0"/>
              <w:shd w:val="clear" w:color="auto" w:fill="F0EEE4"/>
              <w:suppressAutoHyphens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74283B">
              <w:rPr>
                <w:rFonts w:ascii="Arial" w:eastAsia="Times New Roman" w:hAnsi="Arial" w:cs="Arial"/>
                <w:bCs/>
                <w:sz w:val="20"/>
                <w:szCs w:val="20"/>
                <w:lang w:val="de-DE" w:eastAsia="pl-PL"/>
              </w:rPr>
              <w:t>Fähnders</w:t>
            </w:r>
            <w:proofErr w:type="spellEnd"/>
            <w:r w:rsidRPr="0074283B">
              <w:rPr>
                <w:rFonts w:ascii="Arial" w:eastAsia="Times New Roman" w:hAnsi="Arial" w:cs="Arial"/>
                <w:bCs/>
                <w:sz w:val="20"/>
                <w:szCs w:val="20"/>
                <w:lang w:val="de-DE" w:eastAsia="pl-PL"/>
              </w:rPr>
              <w:t>, Walter: Avantgarde und Moderne 1890-1933. Stuttgart/Weimar 1998.</w:t>
            </w:r>
          </w:p>
          <w:p w:rsidR="0074283B" w:rsidRPr="0074283B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Lorenz, Dagmar: Wiener Moderne, Metzler, 2007.</w:t>
            </w:r>
          </w:p>
          <w:p w:rsidR="0074283B" w:rsidRPr="00A30256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Erwin Piscator: Das ABC des Theaters. </w:t>
            </w:r>
            <w:r w:rsidRPr="0074283B">
              <w:rPr>
                <w:rFonts w:ascii="Arial" w:eastAsia="Cambria" w:hAnsi="Arial" w:cs="Arial"/>
                <w:sz w:val="20"/>
                <w:szCs w:val="20"/>
              </w:rPr>
              <w:t>Pod. Red.: Rudolf Wolff. Berlin: 1984.</w:t>
            </w:r>
          </w:p>
          <w:p w:rsidR="00A30256" w:rsidRPr="0074283B" w:rsidRDefault="00A30256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30256">
              <w:rPr>
                <w:rFonts w:ascii="Arial" w:eastAsia="Cambria" w:hAnsi="Arial" w:cs="Arial"/>
                <w:sz w:val="20"/>
                <w:szCs w:val="20"/>
              </w:rPr>
              <w:t>I inne.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74283B">
        <w:rPr>
          <w:rFonts w:ascii="Arial" w:eastAsia="Times New Roman" w:hAnsi="Arial" w:cs="Arial"/>
          <w:sz w:val="20"/>
          <w:szCs w:val="20"/>
          <w:lang w:val="de-DE" w:eastAsia="pl-PL"/>
        </w:rPr>
        <w:t>Wykaz</w:t>
      </w:r>
      <w:proofErr w:type="spellEnd"/>
      <w:r w:rsidRPr="0074283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283B">
        <w:rPr>
          <w:rFonts w:ascii="Arial" w:eastAsia="Times New Roman" w:hAnsi="Arial" w:cs="Arial"/>
          <w:sz w:val="20"/>
          <w:szCs w:val="20"/>
          <w:lang w:val="de-DE" w:eastAsia="pl-PL"/>
        </w:rPr>
        <w:t>literatury</w:t>
      </w:r>
      <w:proofErr w:type="spellEnd"/>
      <w:r w:rsidRPr="0074283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283B">
        <w:rPr>
          <w:rFonts w:ascii="Arial" w:eastAsia="Times New Roman" w:hAnsi="Arial" w:cs="Arial"/>
          <w:sz w:val="20"/>
          <w:szCs w:val="20"/>
          <w:lang w:val="de-DE" w:eastAsia="pl-PL"/>
        </w:rPr>
        <w:t>uzupełniającej</w:t>
      </w:r>
      <w:proofErr w:type="spellEnd"/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83B" w:rsidRPr="0074283B" w:rsidTr="00E64DC6">
        <w:trPr>
          <w:trHeight w:val="930"/>
        </w:trPr>
        <w:tc>
          <w:tcPr>
            <w:tcW w:w="9622" w:type="dxa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Handbuch Drama. Theorie, Analyse, Geschichte. </w:t>
            </w: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Pod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Red.: Peter W. Marx. Stuttgart/Weimar: 2012.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Giddens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Anthony: Konsequenzen der Moderne. Frankfurt/M.: 1996.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Le Rider, Jacques: Das Ende der Illusion. Die Wiener Moderne und Krisen der Identität. Wien 1990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Jost, Dominik: Literarischer Jugendstil. Stuttgart 1980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Schorske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Carl: Wien. Geist und Gesellschaft im Fin de </w:t>
            </w:r>
            <w:proofErr w:type="spellStart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siècle</w:t>
            </w:r>
            <w:proofErr w:type="spellEnd"/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Frankfurt am Main 1982</w:t>
            </w:r>
          </w:p>
          <w:p w:rsidR="0074283B" w:rsidRPr="0074283B" w:rsidRDefault="0074283B" w:rsidP="0074283B">
            <w:pPr>
              <w:widowControl w:val="0"/>
              <w:suppressAutoHyphens/>
              <w:autoSpaceDE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4283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Hughes, Robert: Der Schock der Moderne. Kunst im Jahrhundert des Umbruchs. Düsseldorf, 1981.</w:t>
            </w:r>
          </w:p>
          <w:p w:rsidR="0074283B" w:rsidRDefault="0074283B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proofErr w:type="spellStart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Wunberg</w:t>
            </w:r>
            <w:proofErr w:type="spellEnd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>Gotthart</w:t>
            </w:r>
            <w:proofErr w:type="spellEnd"/>
            <w:r w:rsidRPr="0074283B"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 (Hrsg.): Die  Wiener Moderne: Literatur, Kunst und Musik  zwischen 1890 und1910.</w:t>
            </w:r>
          </w:p>
          <w:p w:rsidR="00A30256" w:rsidRPr="00A30256" w:rsidRDefault="00A30256" w:rsidP="00A3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r w:rsidRPr="00A30256">
              <w:rPr>
                <w:rFonts w:ascii="Arial" w:eastAsia="Cambria" w:hAnsi="Arial" w:cs="Arial"/>
                <w:sz w:val="20"/>
                <w:szCs w:val="20"/>
                <w:lang w:val="de-DE"/>
              </w:rPr>
              <w:t>Postdramatik</w:t>
            </w:r>
          </w:p>
          <w:p w:rsidR="00A30256" w:rsidRPr="00A30256" w:rsidRDefault="00A30256" w:rsidP="00A3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</w:p>
          <w:p w:rsidR="00A30256" w:rsidRPr="00A30256" w:rsidRDefault="00A30256" w:rsidP="00A3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eastAsia="Cambria" w:hAnsi="Arial" w:cs="Arial"/>
                <w:sz w:val="20"/>
                <w:szCs w:val="20"/>
                <w:lang w:val="de-DE"/>
              </w:rPr>
              <w:t>Klessinger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  <w:lang w:val="de-DE"/>
              </w:rPr>
              <w:t>Hann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  <w:lang w:val="de-DE"/>
              </w:rPr>
              <w:t xml:space="preserve">: </w:t>
            </w:r>
            <w:r w:rsidRPr="00A30256">
              <w:rPr>
                <w:rFonts w:ascii="Arial" w:eastAsia="Cambria" w:hAnsi="Arial" w:cs="Arial"/>
                <w:sz w:val="20"/>
                <w:szCs w:val="20"/>
                <w:lang w:val="de-DE"/>
              </w:rPr>
              <w:t>Transformationen des epischen Theaters bei Peter Handke, Heiner Müller, Elfriede Jelinek und Rainald Goetz</w:t>
            </w:r>
            <w:r>
              <w:rPr>
                <w:rFonts w:ascii="Arial" w:eastAsia="Cambria" w:hAnsi="Arial" w:cs="Arial"/>
                <w:sz w:val="20"/>
                <w:szCs w:val="20"/>
                <w:lang w:val="de-DE"/>
              </w:rPr>
              <w:t>, Niemeyer 2015</w:t>
            </w:r>
          </w:p>
          <w:p w:rsidR="00A30256" w:rsidRDefault="00A30256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30256">
              <w:rPr>
                <w:rFonts w:ascii="Arial" w:eastAsia="Cambria" w:hAnsi="Arial" w:cs="Arial"/>
                <w:sz w:val="20"/>
                <w:szCs w:val="20"/>
              </w:rPr>
              <w:t xml:space="preserve">Leksykony literatury niemieckojęzycznej XX w. </w:t>
            </w:r>
            <w:r>
              <w:rPr>
                <w:rFonts w:ascii="Arial" w:eastAsia="Cambria" w:hAnsi="Arial" w:cs="Arial"/>
                <w:sz w:val="20"/>
                <w:szCs w:val="20"/>
              </w:rPr>
              <w:t>(wybrane)</w:t>
            </w:r>
          </w:p>
          <w:p w:rsidR="00A30256" w:rsidRPr="0074283B" w:rsidRDefault="00A30256" w:rsidP="0074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I inne.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283B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4283B" w:rsidRPr="0074283B" w:rsidTr="00E64DC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4283B" w:rsidRPr="0074283B" w:rsidTr="00E64DC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74283B" w:rsidRPr="0074283B" w:rsidTr="00E64DC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283B" w:rsidRPr="0074283B" w:rsidRDefault="0074283B" w:rsidP="0074283B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283B" w:rsidRPr="0074283B" w:rsidRDefault="00FB19EE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74283B" w:rsidRPr="0074283B" w:rsidTr="00E64DC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 w:rsidRPr="0074283B"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4283B" w:rsidRPr="0074283B" w:rsidRDefault="00FB19EE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bookmarkStart w:id="0" w:name="_GoBack"/>
            <w:bookmarkEnd w:id="0"/>
            <w:r w:rsidR="0074283B" w:rsidRPr="0074283B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74283B" w:rsidRPr="0074283B" w:rsidTr="00E64DC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74283B" w:rsidRPr="0074283B" w:rsidTr="00E64DC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4283B" w:rsidRPr="0074283B" w:rsidRDefault="0074283B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74283B" w:rsidRPr="0074283B" w:rsidTr="00E64DC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283B" w:rsidRPr="0074283B" w:rsidRDefault="00FB19EE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4283B" w:rsidRPr="0074283B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74283B" w:rsidRPr="0074283B" w:rsidTr="00E64DC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4283B" w:rsidRPr="0074283B" w:rsidRDefault="00FB19EE" w:rsidP="0074283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74283B" w:rsidRPr="0074283B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74283B" w:rsidRPr="0074283B" w:rsidTr="00E64DC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283B" w:rsidRPr="0074283B" w:rsidRDefault="0074283B" w:rsidP="0074283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4283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4283B" w:rsidRPr="0074283B" w:rsidRDefault="00A30256" w:rsidP="0074283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283B" w:rsidRPr="0074283B" w:rsidRDefault="0074283B" w:rsidP="0074283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0D1E" w:rsidRDefault="00620D1E"/>
    <w:sectPr w:rsidR="00620D1E" w:rsidSect="00AE5AB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A4" w:rsidRDefault="001F17A4">
      <w:pPr>
        <w:spacing w:after="0" w:line="240" w:lineRule="auto"/>
      </w:pPr>
      <w:r>
        <w:separator/>
      </w:r>
    </w:p>
  </w:endnote>
  <w:endnote w:type="continuationSeparator" w:id="0">
    <w:p w:rsidR="001F17A4" w:rsidRDefault="001F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C97" w:rsidRDefault="00EA27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19EE">
      <w:rPr>
        <w:noProof/>
      </w:rPr>
      <w:t>1</w:t>
    </w:r>
    <w:r>
      <w:fldChar w:fldCharType="end"/>
    </w:r>
  </w:p>
  <w:p w:rsidR="00416C97" w:rsidRDefault="001F1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A4" w:rsidRDefault="001F17A4">
      <w:pPr>
        <w:spacing w:after="0" w:line="240" w:lineRule="auto"/>
      </w:pPr>
      <w:r>
        <w:separator/>
      </w:r>
    </w:p>
  </w:footnote>
  <w:footnote w:type="continuationSeparator" w:id="0">
    <w:p w:rsidR="001F17A4" w:rsidRDefault="001F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C97" w:rsidRDefault="001F17A4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71E18"/>
    <w:multiLevelType w:val="hybridMultilevel"/>
    <w:tmpl w:val="53322D3C"/>
    <w:lvl w:ilvl="0" w:tplc="0409000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34"/>
    <w:rsid w:val="000A1A4D"/>
    <w:rsid w:val="001F17A4"/>
    <w:rsid w:val="00245AEE"/>
    <w:rsid w:val="00620D1E"/>
    <w:rsid w:val="0074283B"/>
    <w:rsid w:val="009B4E34"/>
    <w:rsid w:val="00A30256"/>
    <w:rsid w:val="00E13D9D"/>
    <w:rsid w:val="00EA27A4"/>
    <w:rsid w:val="00FB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283B"/>
  </w:style>
  <w:style w:type="paragraph" w:styleId="Stopka">
    <w:name w:val="footer"/>
    <w:basedOn w:val="Normalny"/>
    <w:link w:val="StopkaZnak"/>
    <w:uiPriority w:val="99"/>
    <w:semiHidden/>
    <w:unhideWhenUsed/>
    <w:rsid w:val="0074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2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283B"/>
  </w:style>
  <w:style w:type="paragraph" w:styleId="Stopka">
    <w:name w:val="footer"/>
    <w:basedOn w:val="Normalny"/>
    <w:link w:val="StopkaZnak"/>
    <w:uiPriority w:val="99"/>
    <w:semiHidden/>
    <w:unhideWhenUsed/>
    <w:rsid w:val="0074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2019-01-02T07:25:00Z</dcterms:created>
  <dcterms:modified xsi:type="dcterms:W3CDTF">2019-01-11T14:22:00Z</dcterms:modified>
</cp:coreProperties>
</file>