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792243" w:rsidRDefault="00E933E4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i/>
          <w:color w:val="000000"/>
          <w:sz w:val="22"/>
          <w:szCs w:val="22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Załącznik </w:t>
      </w:r>
      <w:proofErr w:type="gramStart"/>
      <w:r>
        <w:rPr>
          <w:rFonts w:ascii="Arial" w:eastAsia="Arial" w:hAnsi="Arial" w:cs="Arial"/>
          <w:i/>
          <w:color w:val="000000"/>
          <w:sz w:val="22"/>
          <w:szCs w:val="22"/>
        </w:rPr>
        <w:t>nr  7</w:t>
      </w:r>
      <w:proofErr w:type="gramEnd"/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 do Zarządzenia Nr………………….</w:t>
      </w:r>
    </w:p>
    <w:p w:rsidR="00792243" w:rsidRDefault="0079224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4"/>
          <w:szCs w:val="24"/>
        </w:rPr>
      </w:pPr>
    </w:p>
    <w:p w:rsidR="00792243" w:rsidRDefault="0079224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:rsidR="00792243" w:rsidRDefault="00E933E4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KARTA KURSU (realizowanego w module specjalności)</w:t>
      </w:r>
    </w:p>
    <w:p w:rsidR="00792243" w:rsidRDefault="0079224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:rsidR="00792243" w:rsidRDefault="00E933E4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JĘZYKI SPECJALISTYCZNE I TŁUMACZENIE</w:t>
      </w:r>
    </w:p>
    <w:p w:rsidR="00792243" w:rsidRDefault="00E933E4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</w:p>
    <w:p w:rsidR="00792243" w:rsidRDefault="00E933E4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(nazwa specjalności)</w:t>
      </w:r>
    </w:p>
    <w:p w:rsidR="00792243" w:rsidRDefault="0079224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:rsidR="00792243" w:rsidRDefault="0079224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:rsidR="00792243" w:rsidRDefault="00E933E4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792243">
        <w:trPr>
          <w:trHeight w:val="380"/>
        </w:trPr>
        <w:tc>
          <w:tcPr>
            <w:tcW w:w="1985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Nazwa</w:t>
            </w:r>
          </w:p>
        </w:tc>
        <w:tc>
          <w:tcPr>
            <w:tcW w:w="7655" w:type="dxa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Przekład specjalistyczny III</w:t>
            </w:r>
            <w:r>
              <w:rPr>
                <w:rFonts w:ascii="Arial" w:eastAsia="Arial" w:hAnsi="Arial" w:cs="Arial"/>
              </w:rPr>
              <w:t xml:space="preserve"> (P</w:t>
            </w:r>
            <w:r>
              <w:rPr>
                <w:rFonts w:ascii="Arial" w:eastAsia="Arial" w:hAnsi="Arial" w:cs="Arial"/>
                <w:color w:val="000000"/>
              </w:rPr>
              <w:t xml:space="preserve">rawo) </w:t>
            </w:r>
          </w:p>
        </w:tc>
      </w:tr>
      <w:tr w:rsidR="00792243">
        <w:trPr>
          <w:trHeight w:val="360"/>
        </w:trPr>
        <w:tc>
          <w:tcPr>
            <w:tcW w:w="1985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Legal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translation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</w:rPr>
              <w:t>III</w:t>
            </w:r>
          </w:p>
        </w:tc>
      </w:tr>
    </w:tbl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tbl>
      <w:tblPr>
        <w:tblStyle w:val="a0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92243">
        <w:trPr>
          <w:trHeight w:val="400"/>
        </w:trPr>
        <w:tc>
          <w:tcPr>
            <w:tcW w:w="1985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Zespół dydaktyczny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92243" w:rsidRDefault="00E059B7">
            <w:pPr>
              <w:widowControl w:val="0"/>
              <w:spacing w:before="57" w:after="57"/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</w:t>
            </w:r>
            <w:r w:rsidR="00E933E4">
              <w:rPr>
                <w:rFonts w:ascii="Arial" w:eastAsia="Arial" w:hAnsi="Arial" w:cs="Arial"/>
              </w:rPr>
              <w:t xml:space="preserve">gr Joanna </w:t>
            </w:r>
            <w:proofErr w:type="spellStart"/>
            <w:r w:rsidR="00E933E4">
              <w:rPr>
                <w:rFonts w:ascii="Arial" w:eastAsia="Arial" w:hAnsi="Arial" w:cs="Arial"/>
              </w:rPr>
              <w:t>Baczmaga</w:t>
            </w:r>
            <w:proofErr w:type="spellEnd"/>
          </w:p>
          <w:p w:rsidR="00E059B7" w:rsidRDefault="00E059B7">
            <w:pPr>
              <w:widowControl w:val="0"/>
              <w:spacing w:before="57" w:after="57"/>
              <w:ind w:left="45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mgr Bartosz Dondelewski</w:t>
            </w:r>
          </w:p>
        </w:tc>
        <w:tc>
          <w:tcPr>
            <w:tcW w:w="1985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</w:tbl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E933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kursu (cele kształcenia)</w:t>
      </w: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1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792243">
        <w:trPr>
          <w:trHeight w:val="1360"/>
        </w:trPr>
        <w:tc>
          <w:tcPr>
            <w:tcW w:w="9640" w:type="dxa"/>
          </w:tcPr>
          <w:p w:rsidR="00E059B7" w:rsidRDefault="00E059B7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46862">
              <w:rPr>
                <w:rFonts w:ascii="Arial" w:eastAsia="Arial" w:hAnsi="Arial" w:cs="Arial"/>
                <w:color w:val="000000"/>
                <w:sz w:val="22"/>
                <w:szCs w:val="22"/>
              </w:rPr>
              <w:t>Podstawowym celem kursu jest zdobycie praktycznych umiejętności analizowania i tłumaczenia tekstów specjalistycznych z zakresu prawa. Ćwiczenia leksykalne, utrwalanie najważniejszych struktur gramatycznych, analiza tekstów i dokumentów będących w obiegu prawnym pozwolą studentom poznać i opanować podstawową terminologię z zakresu języka prawa oraz dziedzin, w których takie słownictwo często się pojawia. Analizowane będą dokumenty państwowe, urzędowe i notarialne, korespondencja oficjalna, umowy, akty prawne legislacyjne i wykonawcze.</w:t>
            </w:r>
          </w:p>
          <w:p w:rsidR="00E059B7" w:rsidRDefault="00E059B7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792243" w:rsidRDefault="00E059B7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Niezbędne do tego jest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rozpoznawanie  społecznego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kontekstu tłumaczenia, relacji między interlokutorami, rejestru, oraz znajomość adekwatnych do sytuacji form językowych. Ponadto celem nauki jest dogłębna znajomość źródeł dokumentacji niezbędnych do wykonywania tłumaczeń.</w:t>
            </w:r>
          </w:p>
        </w:tc>
      </w:tr>
    </w:tbl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E933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Efekty kształcenia </w:t>
      </w: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2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92243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Odniesienie do efektów dla specjalności </w:t>
            </w:r>
          </w:p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792243">
        <w:trPr>
          <w:trHeight w:val="1440"/>
        </w:trPr>
        <w:tc>
          <w:tcPr>
            <w:tcW w:w="1979" w:type="dxa"/>
            <w:vMerge/>
            <w:shd w:val="clear" w:color="auto" w:fill="DBE5F1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96" w:type="dxa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W01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zna i rozumie podstawowe metody analizy i interpretacji różnych tekstów, gatunków, konwencji i sytuacji komunikacyjnych od których zależy dobór metod pracy</w:t>
            </w:r>
          </w:p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365" w:type="dxa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W03</w:t>
            </w:r>
          </w:p>
        </w:tc>
      </w:tr>
    </w:tbl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3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92243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Odniesienie do efektów dla specjalności</w:t>
            </w:r>
          </w:p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(określonych w karcie programu studiów dla modułu specjalność)</w:t>
            </w:r>
          </w:p>
        </w:tc>
      </w:tr>
      <w:tr w:rsidR="00792243">
        <w:trPr>
          <w:trHeight w:val="3660"/>
        </w:trPr>
        <w:tc>
          <w:tcPr>
            <w:tcW w:w="1985" w:type="dxa"/>
            <w:vMerge/>
            <w:shd w:val="clear" w:color="auto" w:fill="DBE5F1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245" w:type="dxa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3"/>
                <w:tab w:val="left" w:pos="4741"/>
              </w:tabs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U01 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3"/>
                <w:tab w:val="left" w:pos="4741"/>
              </w:tabs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Potrafi wyszukiwać i analizować informacje z różnych dziedzin specjalistycznych, szczególnie z dziedziny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prawa,  i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oceniać ich przydatność w określonym kontekście komunikacyjnym (przekładowym)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3"/>
                <w:tab w:val="left" w:pos="4741"/>
              </w:tabs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U02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3"/>
                <w:tab w:val="left" w:pos="4741"/>
              </w:tabs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Posiada podstawowe umiejętności w zakresie przekładu specjalistycznego (prawniczego), z zachowaniem właściwej terminologii, konwencji stylistycznych, rejestrów i adekwatności pragmatycznej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3"/>
                <w:tab w:val="left" w:pos="4741"/>
              </w:tabs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U03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3"/>
                <w:tab w:val="left" w:pos="4741"/>
              </w:tabs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 typowych sytuacjach zawodowych potrafi precyzyjnie i skutecznie komunikować problemy związane z tłumaczeniem, oraz posiada świadomość warsztatu tłumacza</w:t>
            </w:r>
          </w:p>
        </w:tc>
        <w:tc>
          <w:tcPr>
            <w:tcW w:w="2410" w:type="dxa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U01</w:t>
            </w:r>
          </w:p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U02</w:t>
            </w:r>
          </w:p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U03</w:t>
            </w:r>
          </w:p>
        </w:tc>
      </w:tr>
    </w:tbl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92243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Odniesienie do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efektów  dla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specjalności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792243">
        <w:trPr>
          <w:trHeight w:val="1980"/>
        </w:trPr>
        <w:tc>
          <w:tcPr>
            <w:tcW w:w="1985" w:type="dxa"/>
            <w:vMerge/>
            <w:shd w:val="clear" w:color="auto" w:fill="DBE5F1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245" w:type="dxa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K01 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3"/>
                <w:tab w:val="left" w:pos="4741"/>
              </w:tabs>
              <w:spacing w:line="276" w:lineRule="auto"/>
              <w:rPr>
                <w:rFonts w:ascii="Arial" w:eastAsia="Arial" w:hAnsi="Arial" w:cs="Arial"/>
                <w:color w:val="1A171B"/>
              </w:rPr>
            </w:pPr>
            <w:r>
              <w:rPr>
                <w:rFonts w:ascii="Arial" w:eastAsia="Arial" w:hAnsi="Arial" w:cs="Arial"/>
                <w:color w:val="1A171B"/>
              </w:rPr>
              <w:t>ma świadomość odpowiedzialności związanej z rolą tłumacza jako mediatora językowego i kulturowego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K02 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1A171B"/>
              </w:rPr>
            </w:pPr>
            <w:r>
              <w:rPr>
                <w:rFonts w:ascii="Arial" w:eastAsia="Arial" w:hAnsi="Arial" w:cs="Arial"/>
                <w:color w:val="1A171B"/>
              </w:rPr>
              <w:t>potrafi współdziałać i pracować w grupie wielokulturowej, w tym wchodzić w interakcję z klientami i współpracownikami zagranicznymi</w:t>
            </w:r>
          </w:p>
        </w:tc>
        <w:tc>
          <w:tcPr>
            <w:tcW w:w="2410" w:type="dxa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K01</w:t>
            </w:r>
          </w:p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K02</w:t>
            </w:r>
          </w:p>
        </w:tc>
      </w:tr>
    </w:tbl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96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92243">
        <w:trPr>
          <w:trHeight w:val="420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Organizacja</w:t>
            </w:r>
          </w:p>
        </w:tc>
      </w:tr>
      <w:tr w:rsidR="00792243">
        <w:trPr>
          <w:trHeight w:val="640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Wykład</w:t>
            </w:r>
          </w:p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Ćwiczenia w grupach</w:t>
            </w:r>
          </w:p>
        </w:tc>
      </w:tr>
      <w:tr w:rsidR="00792243">
        <w:trPr>
          <w:trHeight w:val="460"/>
        </w:trPr>
        <w:tc>
          <w:tcPr>
            <w:tcW w:w="1611" w:type="dxa"/>
            <w:vMerge/>
            <w:shd w:val="clear" w:color="auto" w:fill="DBE5F1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25" w:type="dxa"/>
            <w:vMerge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</w:t>
            </w:r>
          </w:p>
        </w:tc>
        <w:tc>
          <w:tcPr>
            <w:tcW w:w="272" w:type="dxa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62" w:type="dxa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</w:t>
            </w:r>
          </w:p>
        </w:tc>
        <w:tc>
          <w:tcPr>
            <w:tcW w:w="315" w:type="dxa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19" w:type="dxa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</w:t>
            </w:r>
          </w:p>
        </w:tc>
        <w:tc>
          <w:tcPr>
            <w:tcW w:w="284" w:type="dxa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</w:t>
            </w:r>
          </w:p>
        </w:tc>
        <w:tc>
          <w:tcPr>
            <w:tcW w:w="284" w:type="dxa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</w:t>
            </w:r>
          </w:p>
        </w:tc>
        <w:tc>
          <w:tcPr>
            <w:tcW w:w="284" w:type="dxa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</w:t>
            </w:r>
          </w:p>
        </w:tc>
        <w:tc>
          <w:tcPr>
            <w:tcW w:w="284" w:type="dxa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792243">
        <w:trPr>
          <w:trHeight w:val="480"/>
        </w:trPr>
        <w:tc>
          <w:tcPr>
            <w:tcW w:w="1611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792243">
        <w:trPr>
          <w:trHeight w:val="460"/>
        </w:trPr>
        <w:tc>
          <w:tcPr>
            <w:tcW w:w="1611" w:type="dxa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25" w:type="dxa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E933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metod prowadzenia zajęć</w:t>
      </w: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6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792243">
        <w:trPr>
          <w:trHeight w:val="1580"/>
        </w:trPr>
        <w:tc>
          <w:tcPr>
            <w:tcW w:w="9622" w:type="dxa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Praca w dużej grupie z nauczycielem: dyskusja moderowana, wspólna analiza tekstów</w:t>
            </w:r>
          </w:p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Praca w małych grupach: swobodna dyskusja, burza mózgów, wzajemna ocena efektów pracy, referowanie stanowiska grupy innym grupom</w:t>
            </w:r>
          </w:p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Praca indywidualna: samodzielne wyszukiwanie tekstów i źródeł, analiza tekstów, sporządzanie glosariuszy, praca z narzędziami informatycznymi, samodzielne tłumaczenie i korekta tekstów</w:t>
            </w:r>
          </w:p>
        </w:tc>
      </w:tr>
    </w:tbl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E933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Formy sprawdzania efektów kształcenia</w:t>
      </w: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7"/>
        <w:tblW w:w="9621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92243" w:rsidTr="00E059B7">
        <w:trPr>
          <w:cantSplit/>
          <w:trHeight w:val="1600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92243" w:rsidRDefault="00E933E4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92243" w:rsidRDefault="00E933E4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92243" w:rsidRDefault="00E933E4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92243" w:rsidRDefault="00E933E4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92243" w:rsidRDefault="00E933E4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92243" w:rsidRDefault="00E933E4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92243" w:rsidRDefault="00E933E4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92243" w:rsidRDefault="00E933E4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92243" w:rsidRDefault="00E933E4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92243" w:rsidRDefault="00E933E4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92243" w:rsidRDefault="00E933E4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92243" w:rsidRDefault="00E933E4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92243" w:rsidRDefault="00E933E4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Inne</w:t>
            </w:r>
          </w:p>
        </w:tc>
      </w:tr>
      <w:tr w:rsidR="00792243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792243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792243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792243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792243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792243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8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792243">
        <w:tc>
          <w:tcPr>
            <w:tcW w:w="1941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Kryteria oceny</w:t>
            </w:r>
          </w:p>
        </w:tc>
        <w:tc>
          <w:tcPr>
            <w:tcW w:w="7699" w:type="dxa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E059B7" w:rsidRDefault="00E059B7" w:rsidP="00E05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Postęp w zakresie praktycznych umiejętności analizy, wyboru strategii, podejmowania decyzji, współpracy oraz dokumentacji. Postęp w zakresie samokrytycznej analizy własnej pracy oraz pracy grupowej. Bieżąca dyskusja na aktualne tematy społeczno-polityczne („prasówka”).</w:t>
            </w:r>
          </w:p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792243">
        <w:trPr>
          <w:trHeight w:val="1080"/>
        </w:trPr>
        <w:tc>
          <w:tcPr>
            <w:tcW w:w="1941" w:type="dxa"/>
            <w:shd w:val="clear" w:color="auto" w:fill="DBE5F1"/>
            <w:vAlign w:val="center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Dodatkową zalecaną formą oceny jest portfolio lub dzienniczek pracy, w którym studenci gromadzą i komentują wykonywane przez siebie zadania, w sposób prezentujący ich ewolucję. Do zastosowania zamiennie z egzaminem.</w:t>
            </w:r>
          </w:p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E933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Treści merytoryczne (wykaz tematów)</w:t>
      </w: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a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792243">
        <w:trPr>
          <w:trHeight w:val="1120"/>
        </w:trPr>
        <w:tc>
          <w:tcPr>
            <w:tcW w:w="9622" w:type="dxa"/>
          </w:tcPr>
          <w:p w:rsidR="00E059B7" w:rsidRDefault="00E059B7" w:rsidP="00E059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Analiza tekstu branżowego ze względu na gatunek, typ, styl, rejestr itd. Konwencje stylistyczne. Korespondencja handlowa</w:t>
            </w:r>
          </w:p>
          <w:p w:rsidR="00E059B7" w:rsidRDefault="00E059B7" w:rsidP="00E059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Rozpoznawanie struktury tekstu, spójności, rozumienie hierarchii informacji. </w:t>
            </w:r>
          </w:p>
          <w:p w:rsidR="00E059B7" w:rsidRDefault="00E059B7" w:rsidP="00E059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Analiza zleceń tłumaczeniowych jako szeroko pojętego kontekstu: odbiorcy, nadawcy, miejsca i czasu publikacji. </w:t>
            </w:r>
          </w:p>
          <w:p w:rsidR="00E059B7" w:rsidRDefault="00E059B7" w:rsidP="00E059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Podejmowanie decyzji w sprawie strategii tłumaczenia. Rozumienie i oddawanie w tłumaczeniu próśb, żądań, przeprosin itp.</w:t>
            </w:r>
          </w:p>
          <w:p w:rsidR="00E059B7" w:rsidRDefault="00E059B7" w:rsidP="00E059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Sprawna analiza dłuższych tekstów, ustalanie kolejności zabiegów translatorskich. </w:t>
            </w:r>
          </w:p>
          <w:p w:rsidR="00E059B7" w:rsidRDefault="00E059B7" w:rsidP="00E059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Identyfikowanie niezbędnych źródeł słownikowych</w:t>
            </w:r>
          </w:p>
          <w:p w:rsidR="00E059B7" w:rsidRDefault="00E059B7" w:rsidP="00E059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Umiejętność oceny cudzych i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własnych  tekstów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pod kątem adekwatności języka oraz sprawnego oddania sensu. Krytyczne podejście do własnych kompetencji w języku ojczystym. </w:t>
            </w:r>
          </w:p>
          <w:p w:rsidR="00E059B7" w:rsidRDefault="00E059B7" w:rsidP="00E059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Wyrabianie nawyku samooceny. </w:t>
            </w:r>
          </w:p>
          <w:p w:rsidR="00792243" w:rsidRDefault="00E059B7" w:rsidP="00E059B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Umiejętność pracy w grupie, w tym w zespole tłumaczy oraz fachowców.</w:t>
            </w:r>
          </w:p>
        </w:tc>
      </w:tr>
    </w:tbl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E933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Wykaz literatury podstawowej</w:t>
      </w: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b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792243" w:rsidRPr="006A0410">
        <w:trPr>
          <w:trHeight w:val="1080"/>
        </w:trPr>
        <w:tc>
          <w:tcPr>
            <w:tcW w:w="9622" w:type="dxa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 xml:space="preserve">Tłumacz w postępowaniu karnym, J. Poznański,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Translegis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, 2007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"TEKSTY EGZAMINACYJNE DLA KANDYDATÓW NA TŁUMACZA PRZYSIĘGŁEGO', red. Zofia Rybińska - Teksty z egzaminów państwowych w jęz. angielskim, francuskim, niemieckim, rosyjskim, włoskim, hiszpańskim i polskim, wyd.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Translegis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2011.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Kierzkowska Danuta (red.), 2005, Kodeks tłumacza przysięgłego z komentarzem. Warszawa: Wydawnictwo TEPIS.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Kierzkowska, Danuta (red.). Dokumenty polskie. Wybór dla tłumaczy sądowych. Wydawnictwo TEPIS. Warszawa, 1998.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Jopek-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Bosiacka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: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Przekład prawny i sądowy. PWN Warszawa 2008</w:t>
            </w:r>
          </w:p>
          <w:p w:rsidR="00792243" w:rsidRPr="006A0410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rFonts w:ascii="Arial" w:eastAsia="Arial" w:hAnsi="Arial" w:cs="Arial"/>
                <w:color w:val="666666"/>
                <w:sz w:val="22"/>
                <w:szCs w:val="22"/>
                <w:lang w:val="es-ES"/>
              </w:rPr>
            </w:pPr>
            <w:r w:rsidRPr="006A0410">
              <w:rPr>
                <w:rFonts w:ascii="Arial" w:eastAsia="Arial" w:hAnsi="Arial" w:cs="Arial"/>
                <w:color w:val="333333"/>
                <w:sz w:val="22"/>
                <w:szCs w:val="22"/>
                <w:lang w:val="es-ES"/>
              </w:rPr>
              <w:t>- Sistema de Derecho civil. Ed. Tecnos. Madrid, 11ª ed. 2012 (DÍEZ-PICAZO, Luis y GULLÓN, Antonio).</w:t>
            </w:r>
          </w:p>
          <w:p w:rsidR="00792243" w:rsidRPr="006A0410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rFonts w:ascii="Arial" w:eastAsia="Arial" w:hAnsi="Arial" w:cs="Arial"/>
                <w:color w:val="666666"/>
                <w:sz w:val="22"/>
                <w:szCs w:val="22"/>
                <w:lang w:val="es-ES"/>
              </w:rPr>
            </w:pPr>
            <w:r w:rsidRPr="006A0410">
              <w:rPr>
                <w:rFonts w:ascii="Arial" w:eastAsia="Arial" w:hAnsi="Arial" w:cs="Arial"/>
                <w:color w:val="333333"/>
                <w:sz w:val="22"/>
                <w:szCs w:val="22"/>
                <w:lang w:val="es-ES"/>
              </w:rPr>
              <w:t>- El español jurídico. Ariel, 2009 (ALCARAZ, Enrique; GOMEZ, Adelina; HUGHES, Brian).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rFonts w:ascii="Arial" w:eastAsia="Arial" w:hAnsi="Arial" w:cs="Arial"/>
                <w:color w:val="666666"/>
                <w:sz w:val="22"/>
                <w:szCs w:val="22"/>
              </w:rPr>
            </w:pPr>
            <w:r w:rsidRPr="006A0410">
              <w:rPr>
                <w:rFonts w:ascii="Arial" w:eastAsia="Arial" w:hAnsi="Arial" w:cs="Arial"/>
                <w:color w:val="333333"/>
                <w:sz w:val="22"/>
                <w:szCs w:val="22"/>
                <w:lang w:val="es-ES"/>
              </w:rPr>
              <w:t xml:space="preserve">- El proceso penal en España, Francia, Inglaterra y Estados Unidos: descripción y terminología. </w:t>
            </w: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 xml:space="preserve">Granada: </w:t>
            </w:r>
            <w:proofErr w:type="spellStart"/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Comares</w:t>
            </w:r>
            <w:proofErr w:type="spellEnd"/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. 2011. (PEÑARANDA LÓPEZ, A.).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rFonts w:ascii="Arial" w:eastAsia="Arial" w:hAnsi="Arial" w:cs="Arial"/>
                <w:color w:val="666666"/>
                <w:sz w:val="22"/>
                <w:szCs w:val="22"/>
              </w:rPr>
            </w:pPr>
            <w:r w:rsidRPr="006A0410">
              <w:rPr>
                <w:rFonts w:ascii="Arial" w:eastAsia="Arial" w:hAnsi="Arial" w:cs="Arial"/>
                <w:color w:val="333333"/>
                <w:sz w:val="22"/>
                <w:szCs w:val="22"/>
                <w:lang w:val="es-ES"/>
              </w:rPr>
              <w:t xml:space="preserve">- La traducción clara de lo jurídico. Universidad de Las Palmas, Las Palmas de Gran Canaria. </w:t>
            </w: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2004. (GONZÁLEZ RUIZ, V.M.).</w:t>
            </w:r>
          </w:p>
          <w:p w:rsidR="00792243" w:rsidRPr="006A0410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rFonts w:ascii="Arial" w:eastAsia="Arial" w:hAnsi="Arial" w:cs="Arial"/>
                <w:color w:val="666666"/>
                <w:sz w:val="22"/>
                <w:szCs w:val="22"/>
                <w:lang w:val="es-ES"/>
              </w:rPr>
            </w:pPr>
            <w:r w:rsidRPr="006A0410">
              <w:rPr>
                <w:rFonts w:ascii="Arial" w:eastAsia="Arial" w:hAnsi="Arial" w:cs="Arial"/>
                <w:color w:val="333333"/>
                <w:sz w:val="22"/>
                <w:szCs w:val="22"/>
                <w:lang w:val="es-ES"/>
              </w:rPr>
              <w:t>- Reflexiones sobre la traducción jurídica. Ed. Comares, Granada, 2009 (BAIGORRI, J. y CAMPBELL, H.).</w:t>
            </w:r>
          </w:p>
          <w:p w:rsidR="00792243" w:rsidRPr="006A0410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rFonts w:ascii="Arial" w:eastAsia="Arial" w:hAnsi="Arial" w:cs="Arial"/>
                <w:color w:val="666666"/>
                <w:sz w:val="22"/>
                <w:szCs w:val="22"/>
                <w:lang w:val="es-ES"/>
              </w:rPr>
            </w:pPr>
            <w:r w:rsidRPr="006A0410">
              <w:rPr>
                <w:rFonts w:ascii="Arial" w:eastAsia="Arial" w:hAnsi="Arial" w:cs="Arial"/>
                <w:color w:val="666666"/>
                <w:sz w:val="22"/>
                <w:szCs w:val="22"/>
                <w:lang w:val="es-ES"/>
              </w:rPr>
              <w:t xml:space="preserve"> Portal </w:t>
            </w:r>
            <w:r w:rsidR="00201134">
              <w:rPr>
                <w:rFonts w:ascii="Arial" w:eastAsia="Arial" w:hAnsi="Arial" w:cs="Arial"/>
                <w:color w:val="346699"/>
                <w:sz w:val="22"/>
                <w:szCs w:val="22"/>
              </w:rPr>
              <w:fldChar w:fldCharType="begin"/>
            </w:r>
            <w:r w:rsidR="00201134" w:rsidRPr="006A0410">
              <w:rPr>
                <w:rFonts w:ascii="Arial" w:eastAsia="Arial" w:hAnsi="Arial" w:cs="Arial"/>
                <w:color w:val="346699"/>
                <w:sz w:val="22"/>
                <w:szCs w:val="22"/>
                <w:lang w:val="es-ES"/>
              </w:rPr>
              <w:instrText xml:space="preserve"> HYPERLINK "http://eur-lex.europa.eu/es/tools/about.htm" \h </w:instrText>
            </w:r>
            <w:r w:rsidR="00201134">
              <w:rPr>
                <w:rFonts w:ascii="Arial" w:eastAsia="Arial" w:hAnsi="Arial" w:cs="Arial"/>
                <w:color w:val="346699"/>
                <w:sz w:val="22"/>
                <w:szCs w:val="22"/>
              </w:rPr>
              <w:fldChar w:fldCharType="separate"/>
            </w:r>
            <w:r w:rsidRPr="006A0410">
              <w:rPr>
                <w:rFonts w:ascii="Arial" w:eastAsia="Arial" w:hAnsi="Arial" w:cs="Arial"/>
                <w:color w:val="346699"/>
                <w:sz w:val="22"/>
                <w:szCs w:val="22"/>
                <w:lang w:val="es-ES"/>
              </w:rPr>
              <w:t>http://eur-lex.europa.eu/es/tools/about.htm</w:t>
            </w:r>
            <w:r w:rsidR="00201134">
              <w:rPr>
                <w:rFonts w:ascii="Arial" w:eastAsia="Arial" w:hAnsi="Arial" w:cs="Arial"/>
                <w:color w:val="346699"/>
                <w:sz w:val="22"/>
                <w:szCs w:val="22"/>
              </w:rPr>
              <w:fldChar w:fldCharType="end"/>
            </w:r>
          </w:p>
          <w:p w:rsidR="00792243" w:rsidRPr="006A0410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  <w:lang w:val="es-ES"/>
              </w:rPr>
            </w:pPr>
            <w:r w:rsidRPr="006A0410">
              <w:rPr>
                <w:rFonts w:ascii="Arial" w:eastAsia="Arial" w:hAnsi="Arial" w:cs="Arial"/>
                <w:color w:val="666666"/>
                <w:sz w:val="22"/>
                <w:szCs w:val="22"/>
                <w:lang w:val="es-ES"/>
              </w:rPr>
              <w:t xml:space="preserve">Portal </w:t>
            </w:r>
            <w:r w:rsidR="00201134">
              <w:rPr>
                <w:rFonts w:ascii="Arial" w:eastAsia="Arial" w:hAnsi="Arial" w:cs="Arial"/>
                <w:color w:val="346699"/>
                <w:sz w:val="22"/>
                <w:szCs w:val="22"/>
              </w:rPr>
              <w:fldChar w:fldCharType="begin"/>
            </w:r>
            <w:r w:rsidR="00201134" w:rsidRPr="006A0410">
              <w:rPr>
                <w:rFonts w:ascii="Arial" w:eastAsia="Arial" w:hAnsi="Arial" w:cs="Arial"/>
                <w:color w:val="346699"/>
                <w:sz w:val="22"/>
                <w:szCs w:val="22"/>
                <w:lang w:val="es-ES"/>
              </w:rPr>
              <w:instrText xml:space="preserve"> HYPERLINK "http://ec.europa.eu/civiljustice/index_es.htm" \h </w:instrText>
            </w:r>
            <w:r w:rsidR="00201134">
              <w:rPr>
                <w:rFonts w:ascii="Arial" w:eastAsia="Arial" w:hAnsi="Arial" w:cs="Arial"/>
                <w:color w:val="346699"/>
                <w:sz w:val="22"/>
                <w:szCs w:val="22"/>
              </w:rPr>
              <w:fldChar w:fldCharType="separate"/>
            </w:r>
            <w:r w:rsidRPr="006A0410">
              <w:rPr>
                <w:rFonts w:ascii="Arial" w:eastAsia="Arial" w:hAnsi="Arial" w:cs="Arial"/>
                <w:color w:val="346699"/>
                <w:sz w:val="22"/>
                <w:szCs w:val="22"/>
                <w:lang w:val="es-ES"/>
              </w:rPr>
              <w:t>http://ec.europa.eu/civiljustice/index_es.htm</w:t>
            </w:r>
            <w:r w:rsidR="00201134">
              <w:rPr>
                <w:rFonts w:ascii="Arial" w:eastAsia="Arial" w:hAnsi="Arial" w:cs="Arial"/>
                <w:color w:val="346699"/>
                <w:sz w:val="22"/>
                <w:szCs w:val="22"/>
              </w:rPr>
              <w:fldChar w:fldCharType="end"/>
            </w:r>
          </w:p>
        </w:tc>
      </w:tr>
    </w:tbl>
    <w:p w:rsidR="00792243" w:rsidRPr="006A0410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lang w:val="es-ES"/>
        </w:rPr>
      </w:pPr>
    </w:p>
    <w:p w:rsidR="00792243" w:rsidRDefault="00E933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Wykaz literatury uzupełniającej</w:t>
      </w: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c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792243">
        <w:trPr>
          <w:trHeight w:val="1100"/>
        </w:trPr>
        <w:tc>
          <w:tcPr>
            <w:tcW w:w="9622" w:type="dxa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Szadyko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S. Język specjalistyczny business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communication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(Teksty do tłumaczenia pisemnego z języka polskiego na angielski, niemiecki i rosyjski dla studentów III, IV i V roku). KJS. Warszawa 2008, ss. 290.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Lukszyn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Jerzy 2008 „Parametry analizy tekstów specjalistycznych”, w: Jerzy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Lukszyn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(red.),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Lukszyn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, Jerzy 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2008,  Podstawy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technolingwistyki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I. Warszawa: Wydawnictwo Euro-Edukacja.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Pytel, Waldemar A.2004 „Słownictwo fachowe jako identyfikator LSP”, w: Jan Lewandowski (red.), 101-110.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A0410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Tomaszczyk, Jerzy (red.)</w:t>
            </w:r>
            <w:proofErr w:type="gramStart"/>
            <w:r w:rsidRPr="006A0410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1999  Aspects</w:t>
            </w:r>
            <w:proofErr w:type="gramEnd"/>
            <w:r w:rsidRPr="006A0410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 xml:space="preserve"> of Legal Language and Legal Translation.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European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Legal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Culture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–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Communication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1.) Łódź: Łódź University Press.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Górnicz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M,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Terminologizacja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tekstów specjalistycznych. "Języki Specjalistyczne". </w:t>
            </w:r>
          </w:p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Bogucki, Łukasz. Tłumaczenie wspomagane komputerowo. Wydawnictwo Naukowe PWN. Warszawa, 2009.</w:t>
            </w:r>
          </w:p>
          <w:p w:rsidR="00792243" w:rsidRDefault="00E933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Tomaszkiewicz, Teresa (tłum.). Terminologia tłumaczenia. Wydawnictwo Naukowe UAM. Poznań, 2006.</w:t>
            </w:r>
          </w:p>
        </w:tc>
      </w:tr>
    </w:tbl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92243" w:rsidRDefault="00E933E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792243" w:rsidRDefault="007922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d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792243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Wykład</w:t>
            </w:r>
          </w:p>
        </w:tc>
        <w:tc>
          <w:tcPr>
            <w:tcW w:w="1066" w:type="dxa"/>
            <w:vAlign w:val="center"/>
          </w:tcPr>
          <w:p w:rsidR="00792243" w:rsidRDefault="007922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792243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750" w:type="dxa"/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30</w:t>
            </w:r>
          </w:p>
        </w:tc>
      </w:tr>
      <w:tr w:rsidR="00792243">
        <w:trPr>
          <w:trHeight w:val="660"/>
        </w:trPr>
        <w:tc>
          <w:tcPr>
            <w:tcW w:w="2766" w:type="dxa"/>
            <w:vMerge/>
            <w:shd w:val="clear" w:color="auto" w:fill="DBE5F1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792243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40</w:t>
            </w:r>
          </w:p>
        </w:tc>
      </w:tr>
      <w:tr w:rsidR="00792243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750" w:type="dxa"/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92243" w:rsidRDefault="007922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792243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750" w:type="dxa"/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792243">
        <w:trPr>
          <w:trHeight w:val="540"/>
        </w:trPr>
        <w:tc>
          <w:tcPr>
            <w:tcW w:w="2766" w:type="dxa"/>
            <w:vMerge/>
            <w:shd w:val="clear" w:color="auto" w:fill="DBE5F1"/>
            <w:vAlign w:val="center"/>
          </w:tcPr>
          <w:p w:rsidR="00792243" w:rsidRDefault="00792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92243" w:rsidRDefault="007922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792243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90</w:t>
            </w:r>
          </w:p>
        </w:tc>
      </w:tr>
      <w:tr w:rsidR="00792243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92243" w:rsidRDefault="00E933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</w:t>
            </w:r>
          </w:p>
        </w:tc>
      </w:tr>
    </w:tbl>
    <w:p w:rsidR="00792243" w:rsidRDefault="0079224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sectPr w:rsidR="007922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58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134" w:rsidRDefault="00201134">
      <w:r>
        <w:separator/>
      </w:r>
    </w:p>
  </w:endnote>
  <w:endnote w:type="continuationSeparator" w:id="0">
    <w:p w:rsidR="00201134" w:rsidRDefault="0020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243" w:rsidRDefault="007922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243" w:rsidRDefault="00E933E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E059B7">
      <w:rPr>
        <w:noProof/>
        <w:color w:val="000000"/>
        <w:sz w:val="22"/>
        <w:szCs w:val="22"/>
      </w:rPr>
      <w:t>1</w:t>
    </w:r>
    <w:r>
      <w:rPr>
        <w:color w:val="000000"/>
        <w:sz w:val="22"/>
        <w:szCs w:val="22"/>
      </w:rPr>
      <w:fldChar w:fldCharType="end"/>
    </w:r>
  </w:p>
  <w:p w:rsidR="00792243" w:rsidRDefault="007922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243" w:rsidRDefault="007922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134" w:rsidRDefault="00201134">
      <w:r>
        <w:separator/>
      </w:r>
    </w:p>
  </w:footnote>
  <w:footnote w:type="continuationSeparator" w:id="0">
    <w:p w:rsidR="00201134" w:rsidRDefault="00201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243" w:rsidRDefault="007922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243" w:rsidRDefault="007922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243" w:rsidRDefault="007922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90799"/>
    <w:multiLevelType w:val="multilevel"/>
    <w:tmpl w:val="690EC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53A76FE"/>
    <w:multiLevelType w:val="multilevel"/>
    <w:tmpl w:val="9EBE4A6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243"/>
    <w:rsid w:val="00201134"/>
    <w:rsid w:val="006A0410"/>
    <w:rsid w:val="00792243"/>
    <w:rsid w:val="00E059B7"/>
    <w:rsid w:val="00E9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75F18C-A8CE-4C17-AA57-BB9D4A6B5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Dondelewski</dc:creator>
  <cp:lastModifiedBy>Maciej Jaskot</cp:lastModifiedBy>
  <cp:revision>2</cp:revision>
  <dcterms:created xsi:type="dcterms:W3CDTF">2019-02-21T13:27:00Z</dcterms:created>
  <dcterms:modified xsi:type="dcterms:W3CDTF">2019-02-21T13:27:00Z</dcterms:modified>
</cp:coreProperties>
</file>