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i/>
          <w:i/>
          <w:sz w:val="22"/>
        </w:rPr>
      </w:pPr>
      <w:r>
        <w:rPr>
          <w:rFonts w:cs="Arial" w:ascii="Arial" w:hAnsi="Arial"/>
          <w:i/>
          <w:sz w:val="22"/>
        </w:rPr>
        <w:t>Załącznik nr 4 do Zarządzenia Nr…………..</w:t>
      </w:r>
    </w:p>
    <w:p>
      <w:pPr>
        <w:pStyle w:val="Normal"/>
        <w:jc w:val="right"/>
        <w:rPr>
          <w:rFonts w:ascii="Arial" w:hAnsi="Arial" w:cs="Arial"/>
          <w:i/>
          <w:i/>
          <w:sz w:val="22"/>
        </w:rPr>
      </w:pPr>
      <w:r>
        <w:rPr>
          <w:rFonts w:cs="Arial" w:ascii="Arial" w:hAnsi="Arial"/>
          <w:i/>
          <w:sz w:val="22"/>
        </w:rPr>
      </w:r>
    </w:p>
    <w:p>
      <w:pPr>
        <w:pStyle w:val="Normal"/>
        <w:jc w:val="right"/>
        <w:rPr>
          <w:rFonts w:ascii="Arial" w:hAnsi="Arial" w:cs="Arial"/>
          <w:b/>
          <w:b/>
          <w:bCs/>
          <w:i/>
          <w:i/>
          <w:sz w:val="22"/>
        </w:rPr>
      </w:pPr>
      <w:r>
        <w:rPr>
          <w:rFonts w:cs="Arial" w:ascii="Arial" w:hAnsi="Arial"/>
          <w:b/>
          <w:bCs/>
          <w:i/>
          <w:sz w:val="22"/>
        </w:rPr>
      </w:r>
    </w:p>
    <w:p>
      <w:pPr>
        <w:pStyle w:val="Nagwek1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cs="Arial" w:ascii="Arial" w:hAnsi="Arial"/>
          <w:b/>
          <w:bCs/>
          <w:sz w:val="24"/>
        </w:rPr>
        <w:t>KARTA KURSU</w:t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tbl>
      <w:tblPr>
        <w:tblW w:w="9645" w:type="dxa"/>
        <w:jc w:val="left"/>
        <w:tblInd w:w="-127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0" w:type="dxa"/>
          <w:bottom w:w="28" w:type="dxa"/>
          <w:right w:w="28" w:type="dxa"/>
        </w:tblCellMar>
      </w:tblPr>
      <w:tblGrid>
        <w:gridCol w:w="1983"/>
        <w:gridCol w:w="7661"/>
      </w:tblGrid>
      <w:tr>
        <w:trPr>
          <w:trHeight w:val="395" w:hRule="atLeast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10" w:type="dxa"/>
            </w:tcMar>
            <w:vAlign w:val="center"/>
          </w:tcPr>
          <w:p>
            <w:pPr>
              <w:pStyle w:val="Normal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Zawartotabeli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 xml:space="preserve">Historia i kultura rosyjskiego obszaru językowego </w:t>
            </w:r>
          </w:p>
        </w:tc>
      </w:tr>
      <w:tr>
        <w:trPr>
          <w:trHeight w:val="379" w:hRule="atLeast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10" w:type="dxa"/>
            </w:tcMar>
            <w:vAlign w:val="center"/>
          </w:tcPr>
          <w:p>
            <w:pPr>
              <w:pStyle w:val="Normal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Zawartotabeli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 </w:t>
            </w:r>
            <w:r>
              <w:rPr>
                <w:rFonts w:cs="Arial" w:ascii="Arial" w:hAnsi="Arial"/>
                <w:sz w:val="20"/>
                <w:szCs w:val="20"/>
              </w:rPr>
              <w:t>History and Culture of the Russian Speaking Countries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5" w:type="dxa"/>
        <w:jc w:val="left"/>
        <w:tblInd w:w="-101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37" w:type="dxa"/>
          <w:bottom w:w="55" w:type="dxa"/>
          <w:right w:w="55" w:type="dxa"/>
        </w:tblCellMar>
      </w:tblPr>
      <w:tblGrid>
        <w:gridCol w:w="3187"/>
        <w:gridCol w:w="3190"/>
        <w:gridCol w:w="3268"/>
      </w:tblGrid>
      <w:tr>
        <w:trPr>
          <w:cantSplit w:val="true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37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dr Mikołaj Mazuś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37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Zespół dydaktyczny</w:t>
            </w:r>
          </w:p>
        </w:tc>
      </w:tr>
      <w:tr>
        <w:trPr>
          <w:trHeight w:val="344" w:hRule="atLeast"/>
          <w:cantSplit w:val="true"/>
        </w:trPr>
        <w:tc>
          <w:tcPr>
            <w:tcW w:w="318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37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9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prof. UP dr hab. Aurelia Kotkiewicz  dr Monika Knurowska</w:t>
            </w:r>
          </w:p>
        </w:tc>
      </w:tr>
      <w:tr>
        <w:trPr>
          <w:trHeight w:val="57" w:hRule="atLeast"/>
          <w:cantSplit w:val="true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auto" w:val="clear"/>
            <w:tcMar>
              <w:left w:w="39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insideH w:val="single" w:sz="2" w:space="0" w:color="95B3D7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68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37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3268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Opis kursu (cele kształcenia)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50" w:type="dxa"/>
        <w:jc w:val="left"/>
        <w:tblInd w:w="-10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9650"/>
      </w:tblGrid>
      <w:tr>
        <w:trPr>
          <w:trHeight w:val="1365" w:hRule="atLeast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Celem kursu jest nabycie przez studenta wiedzy ogólnej, dotyczącej historii oraz specyfiki kulturowej Rosji na tle tradycji europejskiej oraz najwybitniejszych osiągnięć w dziedzinie kultury duchowej i materialnej.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Warunki wstępne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5" w:type="dxa"/>
        <w:jc w:val="left"/>
        <w:tblInd w:w="-101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37" w:type="dxa"/>
          <w:bottom w:w="55" w:type="dxa"/>
          <w:right w:w="55" w:type="dxa"/>
        </w:tblCellMar>
      </w:tblPr>
      <w:tblGrid>
        <w:gridCol w:w="1941"/>
        <w:gridCol w:w="7703"/>
      </w:tblGrid>
      <w:tr>
        <w:trPr>
          <w:trHeight w:val="550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37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Ogólne wiadomości z historii, geografii i kultury Europy.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  <w:tr>
        <w:trPr>
          <w:trHeight w:val="577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37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Podstawowe umiejętności badawcze, obejmujące formułowanie i analizę problemów, dotyczących zagadnień z zakresu historii i kultury europejskiej.</w:t>
            </w:r>
          </w:p>
        </w:tc>
      </w:tr>
      <w:tr>
        <w:trPr/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37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37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-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 xml:space="preserve">Efekty kształcenia 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50" w:type="dxa"/>
        <w:jc w:val="left"/>
        <w:tblInd w:w="-102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1979"/>
        <w:gridCol w:w="5296"/>
        <w:gridCol w:w="2375"/>
      </w:tblGrid>
      <w:tr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W01, ...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W01 Posiada znajomość historii oraz specyfiki kulturowej Rosji na tle tradycji europejskiej oraz najwybitniejszych osiągnięć w dziedzinie kultury duchowej i materialnej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W02 Zna i rozumie podstawowe metody analizy i interpretacji różnych wytworów kultury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W03 Ma podstawową wiedzę o instytucjach kultury i orientuje się we współczesnym życiu kulturalnym Rosji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W01, …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K1_W01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K1_W02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K1_W03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50" w:type="dxa"/>
        <w:jc w:val="left"/>
        <w:tblInd w:w="-102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1985"/>
        <w:gridCol w:w="5240"/>
        <w:gridCol w:w="2425"/>
      </w:tblGrid>
      <w:tr>
        <w:trPr>
          <w:trHeight w:val="939" w:hRule="atLeast"/>
          <w:cantSplit w:val="true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52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2116" w:hRule="atLeast"/>
          <w:cantSplit w:val="true"/>
        </w:trPr>
        <w:tc>
          <w:tcPr>
            <w:tcW w:w="1985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U01, …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U01 Potrafi wyszukiwać, analizować i użytkować informacje z zakresu kulturologii z wykorzystaniem różnych źródeł i sposobów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U02 Rozumie złożoność procesów kulturowo-historycznych Rosji od jej początków do czasów najnowszych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U03 Potrafi rozpoznać różne rodzaje wytworów kultury oraz przeprowadzić ich krytyczną analizę i interpretację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U01, …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K1_U01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K1_U02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K1_U03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50" w:type="dxa"/>
        <w:jc w:val="left"/>
        <w:tblInd w:w="-102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1985"/>
        <w:gridCol w:w="5240"/>
        <w:gridCol w:w="2425"/>
      </w:tblGrid>
      <w:tr>
        <w:trPr>
          <w:trHeight w:val="800" w:hRule="atLeast"/>
          <w:cantSplit w:val="true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2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Efekt kształcenia dla kursu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DBE5F1" w:val="clear"/>
            <w:tcMar>
              <w:left w:w="40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984" w:hRule="atLeast"/>
          <w:cantSplit w:val="true"/>
        </w:trPr>
        <w:tc>
          <w:tcPr>
            <w:tcW w:w="1985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2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K01, …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K01 Rozumie potrzebę wzbogacania swojej wiedzy o historii i kulturze Rosji przez całe życie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K02 Ma świadomość odpowiedzialności za zachowanie rosyjskiego i europejskiego dziedzictwa kulturowego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K03 Uczestniczy w różnych formach życia kulturalnego, dotyczących także kultury rosyjskiej </w:t>
            </w:r>
          </w:p>
        </w:tc>
        <w:tc>
          <w:tcPr>
            <w:tcW w:w="24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K01, …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K1_K01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K1_K02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K1_K03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5" w:type="dxa"/>
        <w:jc w:val="left"/>
        <w:tblInd w:w="-12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10" w:type="dxa"/>
          <w:bottom w:w="28" w:type="dxa"/>
          <w:right w:w="28" w:type="dxa"/>
        </w:tblCellMar>
      </w:tblPr>
      <w:tblGrid>
        <w:gridCol w:w="1607"/>
        <w:gridCol w:w="1225"/>
        <w:gridCol w:w="850"/>
        <w:gridCol w:w="272"/>
        <w:gridCol w:w="861"/>
        <w:gridCol w:w="316"/>
        <w:gridCol w:w="817"/>
        <w:gridCol w:w="281"/>
        <w:gridCol w:w="3"/>
        <w:gridCol w:w="850"/>
        <w:gridCol w:w="281"/>
        <w:gridCol w:w="3"/>
        <w:gridCol w:w="848"/>
        <w:gridCol w:w="286"/>
        <w:gridCol w:w="2"/>
        <w:gridCol w:w="845"/>
        <w:gridCol w:w="297"/>
      </w:tblGrid>
      <w:tr>
        <w:trPr>
          <w:trHeight w:val="424" w:hRule="exact"/>
          <w:cantSplit w:val="true"/>
        </w:trPr>
        <w:tc>
          <w:tcPr>
            <w:tcW w:w="9644" w:type="dxa"/>
            <w:gridSpan w:val="1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left w:w="10" w:type="dxa"/>
            </w:tcMar>
            <w:vAlign w:val="center"/>
          </w:tcPr>
          <w:p>
            <w:pPr>
              <w:pStyle w:val="Zawartotabeli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Wykład</w:t>
            </w:r>
          </w:p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(W)</w:t>
            </w:r>
          </w:p>
        </w:tc>
        <w:tc>
          <w:tcPr>
            <w:tcW w:w="6812" w:type="dxa"/>
            <w:gridSpan w:val="15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0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5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</w:t>
            </w:r>
          </w:p>
        </w:tc>
        <w:tc>
          <w:tcPr>
            <w:tcW w:w="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</w:t>
            </w:r>
          </w:p>
        </w:tc>
        <w:tc>
          <w:tcPr>
            <w:tcW w:w="29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DBE5F1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1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4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62" w:hRule="atLeast"/>
        </w:trPr>
        <w:tc>
          <w:tcPr>
            <w:tcW w:w="16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01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6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4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>
            <w:pPr>
              <w:pStyle w:val="Zawartotabeli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4"/>
        </w:rPr>
      </w:pPr>
      <w:r>
        <w:rPr>
          <w:rFonts w:cs="Arial" w:ascii="Arial" w:hAnsi="Arial"/>
          <w:sz w:val="22"/>
          <w:szCs w:val="14"/>
        </w:rPr>
        <w:t>Opis metod prowadzenia zajęć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32" w:type="dxa"/>
        <w:jc w:val="left"/>
        <w:tblInd w:w="-10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9632"/>
      </w:tblGrid>
      <w:tr>
        <w:trPr>
          <w:trHeight w:val="1920" w:hRule="atLeast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Zawartotabeli"/>
              <w:snapToGrid w:val="false"/>
              <w:rPr/>
            </w:pPr>
            <w:r>
              <w:rPr>
                <w:rFonts w:cs="Arial" w:ascii="Arial" w:hAnsi="Arial"/>
                <w:sz w:val="22"/>
                <w:szCs w:val="16"/>
              </w:rPr>
              <w:t>Wykład.</w:t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Formy sprawdzania efektów kształcenia</w:t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31" w:type="dxa"/>
        <w:jc w:val="left"/>
        <w:tblInd w:w="-30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962"/>
        <w:gridCol w:w="666"/>
        <w:gridCol w:w="668"/>
        <w:gridCol w:w="666"/>
        <w:gridCol w:w="666"/>
        <w:gridCol w:w="668"/>
        <w:gridCol w:w="666"/>
        <w:gridCol w:w="668"/>
        <w:gridCol w:w="666"/>
        <w:gridCol w:w="568"/>
        <w:gridCol w:w="765"/>
        <w:gridCol w:w="668"/>
        <w:gridCol w:w="666"/>
        <w:gridCol w:w="667"/>
      </w:tblGrid>
      <w:tr>
        <w:trPr>
          <w:trHeight w:val="1616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insideH w:val="single" w:sz="4" w:space="0" w:color="C0C0C0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 – </w:t>
            </w:r>
            <w:r>
              <w:rPr>
                <w:rFonts w:cs="Arial"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Referat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DBE5F1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  <w:szCs w:val="20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5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</w:tbl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5" w:type="dxa"/>
        <w:jc w:val="left"/>
        <w:tblInd w:w="-127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0" w:type="dxa"/>
          <w:bottom w:w="28" w:type="dxa"/>
          <w:right w:w="28" w:type="dxa"/>
        </w:tblCellMar>
      </w:tblPr>
      <w:tblGrid>
        <w:gridCol w:w="1941"/>
        <w:gridCol w:w="7703"/>
      </w:tblGrid>
      <w:tr>
        <w:trPr/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10" w:type="dxa"/>
            </w:tcMar>
            <w:vAlign w:val="center"/>
          </w:tcPr>
          <w:p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</w:tcPr>
          <w:p>
            <w:pPr>
              <w:pStyle w:val="Zawartotabeli"/>
              <w:spacing w:before="57" w:after="57"/>
              <w:rPr>
                <w:rFonts w:ascii="Arial" w:hAnsi="Arial" w:eastAsia="Arial" w:cs="Arial"/>
                <w:sz w:val="22"/>
                <w:szCs w:val="16"/>
              </w:rPr>
            </w:pPr>
            <w:r>
              <w:rPr>
                <w:rFonts w:eastAsia="Arial" w:cs="Arial" w:ascii="Arial" w:hAnsi="Arial"/>
                <w:sz w:val="22"/>
                <w:szCs w:val="16"/>
              </w:rPr>
              <w:t xml:space="preserve"> </w:t>
            </w:r>
          </w:p>
          <w:p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Egzamin końcowy w formie egzaminu ustnego.</w:t>
            </w:r>
          </w:p>
          <w:p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45" w:type="dxa"/>
        <w:jc w:val="left"/>
        <w:tblInd w:w="-127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0" w:type="dxa"/>
          <w:bottom w:w="28" w:type="dxa"/>
          <w:right w:w="28" w:type="dxa"/>
        </w:tblCellMar>
      </w:tblPr>
      <w:tblGrid>
        <w:gridCol w:w="1941"/>
        <w:gridCol w:w="7703"/>
      </w:tblGrid>
      <w:tr>
        <w:trPr>
          <w:trHeight w:val="1089" w:hRule="atLeast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insideH w:val="single" w:sz="2" w:space="0" w:color="95B3D7"/>
            </w:tcBorders>
            <w:shd w:fill="DBE5F1" w:val="clear"/>
            <w:tcMar>
              <w:left w:w="10" w:type="dxa"/>
            </w:tcMar>
            <w:vAlign w:val="center"/>
          </w:tcPr>
          <w:p>
            <w:pPr>
              <w:pStyle w:val="Normal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  <w:insideH w:val="single" w:sz="2" w:space="0" w:color="95B3D7"/>
              <w:insideV w:val="single" w:sz="2" w:space="0" w:color="95B3D7"/>
            </w:tcBorders>
            <w:shd w:fill="auto" w:val="clear"/>
            <w:tcMar>
              <w:left w:w="10" w:type="dxa"/>
            </w:tcMar>
          </w:tcPr>
          <w:p>
            <w:pPr>
              <w:pStyle w:val="Zawartotabeli"/>
              <w:snapToGrid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  <w:p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Treści merytoryczne (wykaz tematów)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32" w:type="dxa"/>
        <w:jc w:val="left"/>
        <w:tblInd w:w="-10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9632"/>
      </w:tblGrid>
      <w:tr>
        <w:trPr>
          <w:trHeight w:val="1136" w:hRule="atLeast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1. Definicja kultury rosyjskiego obszaru językowego. Ogólna charakterystyka kultury rosyjskiej. Czynniki historyczne i geograficzne, które wpłynęły na powstanie i rozwój kultury rosyjskiej. Kultura duchowa i materialna.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2. Prawosławie jako odmiana chrześcijaństwa i jego wpływ na kulturę rosyjską.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3. Ikona rosyjska.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4. Kultura staroruska.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5. Malarstwo rosyjskie. Muzyka rosyjska.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6. Kino rosyjskie.</w:t>
            </w:r>
          </w:p>
          <w:p>
            <w:pPr>
              <w:pStyle w:val="BalloonText"/>
              <w:snapToGrid w:val="false"/>
              <w:rPr/>
            </w:pPr>
            <w:r>
              <w:rPr>
                <w:rFonts w:cs="Arial" w:ascii="Arial" w:hAnsi="Arial"/>
                <w:sz w:val="22"/>
              </w:rPr>
              <w:t xml:space="preserve">7. Socrealizm. Zjawisko soc-artu. Kultura masowa </w:t>
            </w:r>
            <w:r>
              <w:rPr>
                <w:rFonts w:cs="Arial" w:ascii="Arial" w:hAnsi="Arial"/>
                <w:sz w:val="22"/>
              </w:rPr>
              <w:t>w Rosji.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8. Rosja a Europa. Postać Piotra Czaadajewa.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9. Ruch słowianofilów. Iwan Kiriejewski i jego filozofia.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10. Filozofia Aleksego Chomiakowa.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11. Filozofia Konstantego Aksakowa.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12. Mikołaj Danilewski i panslawizm.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13. Okcydentaliści rosyjscy. Aleksander Hercen i socjalizm rosyjski.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14. Filozofia Włodzimierza Sołowjowa.</w:t>
            </w:r>
          </w:p>
          <w:p>
            <w:pPr>
              <w:pStyle w:val="BalloonText"/>
              <w:snapToGrid w:val="false"/>
              <w:rPr/>
            </w:pPr>
            <w:r>
              <w:rPr>
                <w:rFonts w:cs="Arial" w:ascii="Arial" w:hAnsi="Arial"/>
                <w:sz w:val="22"/>
              </w:rPr>
              <w:t>15.Początki państwowości ruskiej. Teoria normańska i antynormańska.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16. Chrzest Rusi. Kijów jako centrum polityczne i kulturowe Rusi.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17. Rozbicie dzielnicowe. Znaczenie najazdu mongolskiego w dziejach Słowiańszczyzny Wschodniej.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18. Kształtowanie się Księstwa Moskiewskiego. Moskwa jako główny ośrodek jednoczenia ziem Rusi północno-wschodniej.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19. Państwo moskiewskie w XV i w pierwszej połowie XVI wieku.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20. Rządy Iwana Groźnego.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21. Wielka Smuta jako kryzys polityczny, społeczny, dynastyczny, religijny i ideowy.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22. Panowanie pierwszych Romanowów. Schizma w Cerkwi moskiewskiej.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23. Rządy Piotra Wielkiego. Reformy Piotrowe i ich znaczenie.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24. Idea Moskwa – III Rzym i jej ewolucja. Idea Świętej Rusi.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25. Okres przewrotów pałacowych.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26. Panowanie Katarzyny II i Pawła I.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27. Dzieje Rosji w pierwszej połowie XIX wieku.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28. Dzieje Rosji w drugiej połowie XIX wieku.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29. Rządy Mikołaja II. Rewolucje w roku 1917.</w:t>
            </w:r>
          </w:p>
          <w:p>
            <w:pPr>
              <w:pStyle w:val="BalloonText"/>
              <w:snapToGrid w:val="false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30. Dzieje ZSRR. Rozpad Związku Radzieckiego i powstanie Federacji Rosyjskiej.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Wykaz literatury podstawowej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632" w:type="dxa"/>
        <w:jc w:val="left"/>
        <w:tblInd w:w="-10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9632"/>
      </w:tblGrid>
      <w:tr>
        <w:trPr>
          <w:trHeight w:val="1098" w:hRule="atLeast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Andrusiewicz A.,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Cywilizacja rosyjska</w:t>
            </w:r>
            <w:r>
              <w:rPr>
                <w:rFonts w:cs="Arial" w:ascii="Arial" w:hAnsi="Arial"/>
                <w:sz w:val="22"/>
                <w:szCs w:val="16"/>
              </w:rPr>
              <w:t>, t. I, Warszawa 2004; II, W. 2005, t. III, Warszawa 2009.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Bazylow L.,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Historia nowożytnej kultury rosyjskiej</w:t>
            </w:r>
            <w:r>
              <w:rPr>
                <w:rFonts w:cs="Arial" w:ascii="Arial" w:hAnsi="Arial"/>
                <w:sz w:val="22"/>
                <w:szCs w:val="16"/>
              </w:rPr>
              <w:t>, Warszawa 1986.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Bazylow L.,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Historia Rosji</w:t>
            </w:r>
            <w:r>
              <w:rPr>
                <w:rFonts w:cs="Arial" w:ascii="Arial" w:hAnsi="Arial"/>
                <w:sz w:val="22"/>
                <w:szCs w:val="16"/>
              </w:rPr>
              <w:t>, Wrocław 1985.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Cieślik K., Smaga J.,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Kultura rosyjska na przełomie XIX i XX wieku</w:t>
            </w:r>
            <w:r>
              <w:rPr>
                <w:rFonts w:cs="Arial" w:ascii="Arial" w:hAnsi="Arial"/>
                <w:sz w:val="22"/>
                <w:szCs w:val="16"/>
              </w:rPr>
              <w:t>, Katowice 1990.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Goerdt W.,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Historia filozofii rosyjskiej</w:t>
            </w:r>
            <w:r>
              <w:rPr>
                <w:rFonts w:cs="Arial" w:ascii="Arial" w:hAnsi="Arial"/>
                <w:sz w:val="22"/>
                <w:szCs w:val="16"/>
              </w:rPr>
              <w:t>, Kraków 2012.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Gołąbek B.,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Lew Gumilow i Aleksander Dugin. O dwóch obliczach eurazjatyzmu w Rosji po 1991 roku</w:t>
            </w:r>
            <w:r>
              <w:rPr>
                <w:rFonts w:cs="Arial" w:ascii="Arial" w:hAnsi="Arial"/>
                <w:sz w:val="22"/>
                <w:szCs w:val="16"/>
              </w:rPr>
              <w:t>, Kraków 2012.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Heller M.,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Historia Imperium Rosyjskiego</w:t>
            </w:r>
            <w:r>
              <w:rPr>
                <w:rFonts w:cs="Arial" w:ascii="Arial" w:hAnsi="Arial"/>
                <w:sz w:val="22"/>
                <w:szCs w:val="16"/>
              </w:rPr>
              <w:t>, Warszawa 2009.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de Lazari A., (red.),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Idee w Rosji. Leksykon polsko-rosyjsko-angielski</w:t>
            </w:r>
            <w:r>
              <w:rPr>
                <w:rFonts w:cs="Arial" w:ascii="Arial" w:hAnsi="Arial"/>
                <w:sz w:val="22"/>
                <w:szCs w:val="16"/>
              </w:rPr>
              <w:t>, Warszawa, t. I 1999; t.II 1999, t. III 2000, t. IV 2001, t. V 2003.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Łosski M.,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Historia filozofii rosyjskiej</w:t>
            </w:r>
            <w:r>
              <w:rPr>
                <w:rFonts w:cs="Arial" w:ascii="Arial" w:hAnsi="Arial"/>
                <w:sz w:val="22"/>
                <w:szCs w:val="16"/>
              </w:rPr>
              <w:t>, Kęty 2000.</w:t>
            </w:r>
          </w:p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22"/>
                <w:szCs w:val="16"/>
              </w:rPr>
              <w:t xml:space="preserve">Małek E., Wawrzyńczyk J.,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Słownik kultury rosyjskiej</w:t>
            </w:r>
            <w:r>
              <w:rPr>
                <w:rFonts w:cs="Arial" w:ascii="Arial" w:hAnsi="Arial"/>
                <w:sz w:val="22"/>
                <w:szCs w:val="16"/>
              </w:rPr>
              <w:t>, Warszawa 2000.</w:t>
            </w:r>
          </w:p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sz w:val="22"/>
                <w:szCs w:val="16"/>
              </w:rPr>
              <w:t xml:space="preserve">Mucha B.,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Sztuka filmowa w Rosji 1896-1996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16"/>
              </w:rPr>
              <w:t>, Piotrków Trybunalski 2002.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Przebinda G.,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Od Czaadajewa do Bierdiajewa. Spór o Boga i człowieka w myśli rosyjskiej (1832-1922)</w:t>
            </w:r>
            <w:r>
              <w:rPr>
                <w:rFonts w:cs="Arial" w:ascii="Arial" w:hAnsi="Arial"/>
                <w:sz w:val="22"/>
                <w:szCs w:val="16"/>
              </w:rPr>
              <w:t>, Kraków 1998.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Przybył E.,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Prawosławie</w:t>
            </w:r>
            <w:r>
              <w:rPr>
                <w:rFonts w:cs="Arial" w:ascii="Arial" w:hAnsi="Arial"/>
                <w:sz w:val="22"/>
                <w:szCs w:val="16"/>
              </w:rPr>
              <w:t>, Kraków 2000.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Smaga J.,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 xml:space="preserve"> Rosja w 20 stuleciu</w:t>
            </w:r>
            <w:r>
              <w:rPr>
                <w:rFonts w:cs="Arial" w:ascii="Arial" w:hAnsi="Arial"/>
                <w:sz w:val="22"/>
                <w:szCs w:val="16"/>
              </w:rPr>
              <w:t>, Kraków 2001.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Smykowska E.,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Ikona. Mały słownik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16"/>
              </w:rPr>
              <w:t>, Warszawa 2002.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Suchanek L., (red.),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Rosjoznawstwo</w:t>
            </w:r>
            <w:r>
              <w:rPr>
                <w:rFonts w:cs="Arial" w:ascii="Arial" w:hAnsi="Arial"/>
                <w:sz w:val="22"/>
                <w:szCs w:val="16"/>
              </w:rPr>
              <w:t>, Kraków 2004.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Szporluk R.,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 xml:space="preserve"> Imperium, komunizm i narody</w:t>
            </w:r>
            <w:r>
              <w:rPr>
                <w:rFonts w:cs="Arial" w:ascii="Arial" w:hAnsi="Arial"/>
                <w:sz w:val="22"/>
                <w:szCs w:val="16"/>
              </w:rPr>
              <w:t>, Kraków 2003.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Walicki A.,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Rosja, katolicyzm i sprawa polska</w:t>
            </w:r>
            <w:r>
              <w:rPr>
                <w:rFonts w:cs="Arial" w:ascii="Arial" w:hAnsi="Arial"/>
                <w:sz w:val="22"/>
                <w:szCs w:val="16"/>
              </w:rPr>
              <w:t>, Warszawa 2003.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Walicki A.,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W kręgu konserwatywnej utopii. Struktura i przemiany rosyjskiego słowianofilstwa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16"/>
              </w:rPr>
              <w:t>, Warszawa 2002.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Źródła internetowe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Wykaz literatury uzupełniającej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584" w:type="dxa"/>
        <w:jc w:val="left"/>
        <w:tblInd w:w="-5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top w:w="0" w:type="dxa"/>
          <w:left w:w="40" w:type="dxa"/>
          <w:bottom w:w="0" w:type="dxa"/>
          <w:right w:w="70" w:type="dxa"/>
        </w:tblCellMar>
      </w:tblPr>
      <w:tblGrid>
        <w:gridCol w:w="9584"/>
      </w:tblGrid>
      <w:tr>
        <w:trPr>
          <w:trHeight w:val="1112" w:hRule="atLeast"/>
        </w:trPr>
        <w:tc>
          <w:tcPr>
            <w:tcW w:w="95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bookmarkStart w:id="0" w:name="__DdeLink__699_1648850074"/>
            <w:r>
              <w:rPr>
                <w:rFonts w:cs="Arial" w:ascii="Arial" w:hAnsi="Arial"/>
                <w:sz w:val="22"/>
                <w:szCs w:val="16"/>
              </w:rPr>
              <w:t>Chojnicka K.,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 xml:space="preserve"> Narodziny rosyjskiej doktryny państwowej</w:t>
            </w:r>
            <w:r>
              <w:rPr>
                <w:rFonts w:cs="Arial" w:ascii="Arial" w:hAnsi="Arial"/>
                <w:sz w:val="22"/>
                <w:szCs w:val="16"/>
              </w:rPr>
              <w:t>, Kraków 2001.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Clement Olivier,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Rzym inaczej. Prawosławny wobec papiestwa</w:t>
            </w:r>
            <w:r>
              <w:rPr>
                <w:rFonts w:cs="Arial" w:ascii="Arial" w:hAnsi="Arial"/>
                <w:sz w:val="22"/>
                <w:szCs w:val="16"/>
              </w:rPr>
              <w:t>, Warszawa 1999.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de Lazari A., Riabow O., Żakowska M.,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Europa i niedźwiedź</w:t>
            </w:r>
            <w:r>
              <w:rPr>
                <w:rFonts w:cs="Arial" w:ascii="Arial" w:hAnsi="Arial"/>
                <w:sz w:val="22"/>
                <w:szCs w:val="16"/>
              </w:rPr>
              <w:t>, Warszawa 2013.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Łosski W.,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 xml:space="preserve"> Teologia mistyczna Kościoła wschodniego</w:t>
            </w:r>
            <w:r>
              <w:rPr>
                <w:rFonts w:cs="Arial" w:ascii="Arial" w:hAnsi="Arial"/>
                <w:sz w:val="22"/>
                <w:szCs w:val="16"/>
              </w:rPr>
              <w:t>, Kraków 2007.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Przebinda G., Smaga J.,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Kto jest kim w Rosji po 1917 roku</w:t>
            </w:r>
            <w:r>
              <w:rPr>
                <w:rFonts w:cs="Arial" w:ascii="Arial" w:hAnsi="Arial"/>
                <w:sz w:val="22"/>
                <w:szCs w:val="16"/>
              </w:rPr>
              <w:t>, Kraków 2000.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Serczyk  W. A.,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Kultura rosyjska XVIII wieku</w:t>
            </w:r>
            <w:r>
              <w:rPr>
                <w:rFonts w:cs="Arial" w:ascii="Arial" w:hAnsi="Arial"/>
                <w:sz w:val="22"/>
                <w:szCs w:val="16"/>
              </w:rPr>
              <w:t>, Wrocław 1984.</w:t>
            </w:r>
          </w:p>
          <w:p>
            <w:pPr>
              <w:pStyle w:val="Normal"/>
              <w:snapToGrid w:val="false"/>
              <w:rPr>
                <w:rFonts w:ascii="Arial" w:hAnsi="Arial"/>
                <w:sz w:val="22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Żyłko B., (wybór i przekład), </w:t>
            </w:r>
            <w:r>
              <w:rPr>
                <w:rFonts w:cs="Arial" w:ascii="Arial" w:hAnsi="Arial"/>
                <w:i/>
                <w:iCs/>
                <w:sz w:val="22"/>
                <w:szCs w:val="16"/>
              </w:rPr>
              <w:t>Semiotyka dziejów Rosji</w:t>
            </w:r>
            <w:bookmarkEnd w:id="0"/>
            <w:r>
              <w:rPr>
                <w:rFonts w:cs="Arial" w:ascii="Arial" w:hAnsi="Arial"/>
                <w:sz w:val="22"/>
                <w:szCs w:val="16"/>
              </w:rPr>
              <w:t>, Łódź 1993.</w:t>
            </w:r>
          </w:p>
        </w:tc>
      </w:tr>
    </w:tbl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BalloonTex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BalloonTex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Bilans godzinowy zgodny z CNPS (Całkowity Nakład Pracy Studenta)</w:t>
      </w:r>
    </w:p>
    <w:p>
      <w:pPr>
        <w:pStyle w:val="Normal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tbl>
      <w:tblPr>
        <w:tblW w:w="9592" w:type="dxa"/>
        <w:jc w:val="left"/>
        <w:tblInd w:w="-30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2766"/>
        <w:gridCol w:w="5745"/>
        <w:gridCol w:w="3"/>
        <w:gridCol w:w="1078"/>
      </w:tblGrid>
      <w:tr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/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60</w:t>
            </w:r>
          </w:p>
        </w:tc>
      </w:tr>
      <w:tr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-</w:t>
            </w:r>
          </w:p>
        </w:tc>
      </w:tr>
      <w:tr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10</w:t>
            </w:r>
          </w:p>
        </w:tc>
      </w:tr>
      <w:tr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jc w:val="center"/>
              <w:rPr/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-</w:t>
            </w:r>
          </w:p>
        </w:tc>
      </w:tr>
      <w:tr>
        <w:trPr>
          <w:trHeight w:val="710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-</w:t>
            </w:r>
          </w:p>
        </w:tc>
      </w:tr>
      <w:tr>
        <w:trPr>
          <w:trHeight w:val="731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-</w:t>
            </w:r>
          </w:p>
        </w:tc>
      </w:tr>
      <w:tr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</w:r>
          </w:p>
        </w:tc>
        <w:tc>
          <w:tcPr>
            <w:tcW w:w="574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365" w:hRule="atLeast"/>
        </w:trPr>
        <w:tc>
          <w:tcPr>
            <w:tcW w:w="85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8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100</w:t>
            </w:r>
          </w:p>
        </w:tc>
      </w:tr>
      <w:tr>
        <w:trPr>
          <w:trHeight w:val="392" w:hRule="atLeast"/>
        </w:trPr>
        <w:tc>
          <w:tcPr>
            <w:tcW w:w="85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insideH w:val="single" w:sz="4" w:space="0" w:color="95B3D7"/>
            </w:tcBorders>
            <w:shd w:fill="DBE5F1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pacing w:lineRule="auto" w:line="276"/>
              <w:ind w:left="360" w:hanging="0"/>
              <w:jc w:val="center"/>
              <w:rPr/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8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  <w:insideH w:val="single" w:sz="4" w:space="0" w:color="95B3D7"/>
              <w:insideV w:val="single" w:sz="4" w:space="0" w:color="95B3D7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US"/>
              </w:rPr>
              <w:t>6</w:t>
            </w:r>
          </w:p>
        </w:tc>
      </w:tr>
    </w:tbl>
    <w:p>
      <w:pPr>
        <w:pStyle w:val="BalloonTex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454" w:top="1276" w:footer="709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agwek"/>
    <w:qFormat/>
    <w:pPr/>
    <w:rPr/>
  </w:style>
  <w:style w:type="character" w:styleId="WW8Num1z0">
    <w:name w:val="WW8Num1z0"/>
    <w:qFormat/>
    <w:rPr>
      <w:b w:val="false"/>
      <w:sz w:val="14"/>
      <w:szCs w:val="14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Znakinumeracji">
    <w:name w:val="Znaki numeracji"/>
    <w:qFormat/>
    <w:rPr/>
  </w:style>
  <w:style w:type="character" w:styleId="Numerstron">
    <w:name w:val="Numer stron"/>
    <w:rPr>
      <w:sz w:val="14"/>
      <w:szCs w:val="14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StopkaZnak">
    <w:name w:val="Stopka Znak"/>
    <w:qFormat/>
    <w:rPr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komentarzaZnak">
    <w:name w:val="Tekst komentarza Znak"/>
    <w:basedOn w:val="Domylnaczcionkaakapitu"/>
    <w:qFormat/>
    <w:rPr/>
  </w:style>
  <w:style w:type="character" w:styleId="TematkomentarzaZnak">
    <w:name w:val="Temat komentarza Znak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Gwka">
    <w:name w:val="Header"/>
    <w:basedOn w:val="Normal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Tekstkomentarza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basedOn w:val="Tekstkomentarza"/>
    <w:qFormat/>
    <w:pPr/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LibreOffice/5.3.4.2$Windows_x86 LibreOffice_project/f82d347ccc0be322489bf7da61d7e4ad13fe2ff3</Application>
  <Pages>6</Pages>
  <Words>964</Words>
  <Characters>5992</Characters>
  <CharactersWithSpaces>6788</CharactersWithSpaces>
  <Paragraphs>183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2017-03-07T13:06:00Z</dcterms:created>
  <dc:creator>Barbara Wilk</dc:creator>
  <dc:description/>
  <dc:language>pl-PL</dc:language>
  <cp:lastModifiedBy/>
  <cp:lastPrinted>2012-01-27T08:28:00Z</cp:lastPrinted>
  <dcterms:modified xsi:type="dcterms:W3CDTF">2017-11-02T20:23:01Z</dcterms:modified>
  <cp:revision>9</cp:revision>
  <dc:subject/>
  <dc:title>KARTA KURSU</dc:title>
</cp:coreProperties>
</file>