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numbering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i/>
          <w:i/>
          <w:sz w:val="20"/>
          <w:szCs w:val="20"/>
        </w:rPr>
      </w:pPr>
      <w:bookmarkStart w:id="0" w:name="_GoBack"/>
      <w:bookmarkStart w:id="1" w:name="_GoBack"/>
      <w:bookmarkEnd w:id="1"/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agwek1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KARTA KURSU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7" w:type="dxa"/>
          <w:bottom w:w="28" w:type="dxa"/>
          <w:right w:w="28" w:type="dxa"/>
        </w:tblCellMar>
        <w:tblLook w:val="0000"/>
      </w:tblPr>
      <w:tblGrid>
        <w:gridCol w:w="1984"/>
        <w:gridCol w:w="7655"/>
      </w:tblGrid>
      <w:tr>
        <w:trPr>
          <w:trHeight w:val="395" w:hRule="atLeast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Normal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Język angielski w </w:t>
            </w:r>
            <w:r>
              <w:rPr>
                <w:rFonts w:cs="Arial" w:ascii="Arial" w:hAnsi="Arial"/>
                <w:sz w:val="20"/>
                <w:szCs w:val="20"/>
              </w:rPr>
              <w:t>biznesie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</w:tc>
      </w:tr>
      <w:tr>
        <w:trPr>
          <w:trHeight w:val="379" w:hRule="atLeast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Normal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7" w:type="dxa"/>
            </w:tcMar>
            <w:vAlign w:val="center"/>
          </w:tcPr>
          <w:p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English in Business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tbl>
      <w:tblPr>
        <w:tblW w:w="9640" w:type="dxa"/>
        <w:jc w:val="left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984"/>
        <w:gridCol w:w="4394"/>
        <w:gridCol w:w="1985"/>
        <w:gridCol w:w="1276"/>
      </w:tblGrid>
      <w:tr>
        <w:trPr>
          <w:trHeight w:val="405" w:hRule="atLeast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lineRule="atLeast" w:line="100" w:before="57" w:after="57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before="57" w:after="57"/>
              <w:ind w:left="45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/>
            </w: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lineRule="atLeast" w:line="100"/>
              <w:ind w:left="45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984"/>
        <w:gridCol w:w="4394"/>
        <w:gridCol w:w="3262"/>
      </w:tblGrid>
      <w:tr>
        <w:trPr>
          <w:cantSplit w:val="true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spacing w:before="57" w:after="57"/>
              <w:ind w:right="2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dr </w:t>
            </w:r>
            <w:r>
              <w:rPr>
                <w:rFonts w:cs="Arial" w:ascii="Arial" w:hAnsi="Arial"/>
                <w:sz w:val="20"/>
                <w:szCs w:val="20"/>
              </w:rPr>
              <w:t>Damian Podleśny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Zespół dydaktyczny</w:t>
            </w:r>
            <w:r>
              <w:rPr>
                <w:rFonts w:cs="Arial" w:ascii="Arial" w:hAnsi="Arial"/>
                <w:sz w:val="20"/>
                <w:szCs w:val="20"/>
              </w:rPr>
              <w:t xml:space="preserve">: </w:t>
            </w:r>
          </w:p>
          <w:p>
            <w:pPr>
              <w:pStyle w:val="Zawartotabeli"/>
              <w:spacing w:before="57" w:after="57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dr </w:t>
            </w:r>
            <w:r>
              <w:rPr>
                <w:rFonts w:cs="Arial" w:ascii="Arial" w:hAnsi="Arial"/>
                <w:sz w:val="20"/>
                <w:szCs w:val="20"/>
              </w:rPr>
              <w:t>Damian Podleśny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kursu (cele kształcenia)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40"/>
      </w:tblGrid>
      <w:tr>
        <w:trPr>
          <w:trHeight w:val="1365" w:hRule="atLeast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widowControl/>
              <w:suppressAutoHyphens w:val="false"/>
              <w:jc w:val="both"/>
              <w:rPr/>
            </w:pPr>
            <w:r>
              <w:rPr>
                <w:rFonts w:cs="Arial" w:ascii="Arial" w:hAnsi="Arial"/>
                <w:color w:val="000000"/>
                <w:sz w:val="22"/>
                <w:szCs w:val="16"/>
              </w:rPr>
              <w:t xml:space="preserve">Celem kursu jest zapoznanie studentów z podstawowymi pojęciami dotyczącymi języka specjalistycznego używanego w przedsiębiorstwie ogólnie pojętym ze szczególnym uwzględnieniem brytyjskiego i amerykańskiego biznesu. Po ukończeniu kursu studenci będą w stanie sprawnie i biegle posługiwać się formalnym i specjalistycznym językiem stosowanym w przedsiębiorstwie oraz poznają aspekty komunikacji biznesowej.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Warunki wstępne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941"/>
        <w:gridCol w:w="7698"/>
      </w:tblGrid>
      <w:tr>
        <w:trPr>
          <w:trHeight w:val="550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Język angielski na poziomie B1</w:t>
            </w:r>
          </w:p>
        </w:tc>
      </w:tr>
      <w:tr>
        <w:trPr>
          <w:trHeight w:val="577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Język angielski na poziomie B1</w:t>
            </w:r>
          </w:p>
        </w:tc>
      </w:tr>
      <w:tr>
        <w:trPr/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54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Kursy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Ukończony kurs języka angielskiego na poziomie B1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Efekty kształcenia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1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79"/>
        <w:gridCol w:w="5297"/>
        <w:gridCol w:w="2365"/>
      </w:tblGrid>
      <w:tr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5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983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podstawową terminologię i wybrane teorie z zakresu filologii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podstawowe pojęcia i zasady z zakresu prawa autorskiego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K1_W02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K1_W06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84"/>
        <w:gridCol w:w="5246"/>
        <w:gridCol w:w="2410"/>
      </w:tblGrid>
      <w:tr>
        <w:trPr>
          <w:trHeight w:val="939" w:hRule="atLeast"/>
          <w:cantSplit w:val="true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2116" w:hRule="atLeast"/>
          <w:cantSplit w:val="true"/>
        </w:trPr>
        <w:tc>
          <w:tcPr>
            <w:tcW w:w="1984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typowych sytuacjach zawodowych posługuje się podstawowymi ujęciami teoretycznymi i pojęciami właściwymi dla filologii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podstawowych ujęć teoretycznych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wystąpienia ustne i prezentacje w języku obcym podstawowym dla swojej specjalności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dobierać i stosować właściwe metody i narzędzia, w tym zaawansowane techniki informacyjno-komunikacyjne (ICT)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K1_U03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K1_U06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K1_U07 </w:t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K1_U11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84"/>
        <w:gridCol w:w="5246"/>
        <w:gridCol w:w="2410"/>
      </w:tblGrid>
      <w:tr>
        <w:trPr>
          <w:trHeight w:val="800" w:hRule="atLeast"/>
          <w:cantSplit w:val="true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404" w:hRule="atLeast"/>
          <w:cantSplit w:val="true"/>
        </w:trPr>
        <w:tc>
          <w:tcPr>
            <w:tcW w:w="1984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prawidłowo identyfikuje i rozstrzyga problemy związane z wykonywaniem zawodu </w:t>
            </w:r>
          </w:p>
          <w:p>
            <w:pPr>
              <w:pStyle w:val="Default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eastAsia="MyriadPro-Regular" w:cs="Arial" w:ascii="Arial" w:hAnsi="Arial"/>
                <w:color w:val="1A171B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K1_K01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5" w:type="dxa"/>
          <w:bottom w:w="28" w:type="dxa"/>
          <w:right w:w="28" w:type="dxa"/>
        </w:tblCellMar>
        <w:tblLook w:val="0000"/>
      </w:tblPr>
      <w:tblGrid>
        <w:gridCol w:w="1610"/>
        <w:gridCol w:w="1226"/>
        <w:gridCol w:w="850"/>
        <w:gridCol w:w="272"/>
        <w:gridCol w:w="862"/>
        <w:gridCol w:w="315"/>
        <w:gridCol w:w="819"/>
        <w:gridCol w:w="284"/>
        <w:gridCol w:w="1"/>
        <w:gridCol w:w="850"/>
        <w:gridCol w:w="282"/>
        <w:gridCol w:w="2"/>
        <w:gridCol w:w="850"/>
        <w:gridCol w:w="282"/>
        <w:gridCol w:w="3"/>
        <w:gridCol w:w="850"/>
        <w:gridCol w:w="281"/>
      </w:tblGrid>
      <w:tr>
        <w:trPr>
          <w:trHeight w:val="424" w:hRule="exact"/>
          <w:cantSplit w:val="true"/>
        </w:trPr>
        <w:tc>
          <w:tcPr>
            <w:tcW w:w="9639" w:type="dxa"/>
            <w:gridSpan w:val="1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Wykład</w:t>
            </w:r>
          </w:p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5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1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</w:t>
            </w:r>
          </w:p>
        </w:tc>
        <w:tc>
          <w:tcPr>
            <w:tcW w:w="28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</w:t>
            </w:r>
          </w:p>
        </w:tc>
        <w:tc>
          <w:tcPr>
            <w:tcW w:w="28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</w:t>
            </w:r>
          </w:p>
        </w:tc>
        <w:tc>
          <w:tcPr>
            <w:tcW w:w="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</w:t>
            </w:r>
          </w:p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3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2" w:hRule="atLeast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3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metod prowadzenia zajęć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128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Metoda zadaniowa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Metody podające, eksponujące, problemowe, aktywizujące</w:t>
            </w:r>
          </w:p>
          <w:p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Metoda projektowa</w:t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Formy sprawdzania efektów kształcenia</w:t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22" w:type="dxa"/>
        <w:jc w:val="left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9"/>
        <w:gridCol w:w="666"/>
        <w:gridCol w:w="666"/>
        <w:gridCol w:w="668"/>
      </w:tblGrid>
      <w:tr>
        <w:trPr>
          <w:trHeight w:val="1616" w:hRule="exac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 – 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K1_W02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K1_U03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K1_U06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K1_U07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K1_U11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</w:tcPr>
          <w:p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K1_K01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7" w:type="dxa"/>
          <w:bottom w:w="28" w:type="dxa"/>
          <w:right w:w="28" w:type="dxa"/>
        </w:tblCellMar>
        <w:tblLook w:val="0000"/>
      </w:tblPr>
      <w:tblGrid>
        <w:gridCol w:w="1941"/>
        <w:gridCol w:w="7698"/>
      </w:tblGrid>
      <w:tr>
        <w:trPr/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Kryteria oceny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CCCCFF" w:val="clear"/>
            <w:tcMar>
              <w:left w:w="27" w:type="dxa"/>
            </w:tcMar>
          </w:tcPr>
          <w:p>
            <w:pPr>
              <w:pStyle w:val="Normal"/>
              <w:tabs>
                <w:tab w:val="left" w:pos="1762" w:leader="none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Warunkiem uzyskania pozytywnej oceny jest regularne i aktywne uczestnictwo w zajęciach, udział w dyskusji w czasie zajęć, uzyskanie pozytywnych ocen z wymaganych testów, projektów i prac pisemnych.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7" w:type="dxa"/>
          <w:bottom w:w="28" w:type="dxa"/>
          <w:right w:w="28" w:type="dxa"/>
        </w:tblCellMar>
        <w:tblLook w:val="0000"/>
      </w:tblPr>
      <w:tblGrid>
        <w:gridCol w:w="1941"/>
        <w:gridCol w:w="7698"/>
      </w:tblGrid>
      <w:tr>
        <w:trPr>
          <w:trHeight w:val="1089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color="auto" w:fill="DBE5F1" w:val="clear"/>
            <w:tcMar>
              <w:left w:w="27" w:type="dxa"/>
            </w:tcMar>
            <w:vAlign w:val="center"/>
          </w:tcPr>
          <w:p>
            <w:pPr>
              <w:pStyle w:val="Normal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Uwagi</w:t>
            </w:r>
          </w:p>
        </w:tc>
        <w:tc>
          <w:tcPr>
            <w:tcW w:w="76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27" w:type="dxa"/>
            </w:tcMar>
          </w:tcPr>
          <w:p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Treści merytoryczne (wykaz tematów)</w:t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1136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Treści budowane w oparciu o materiały języka angielskiego branżowego oraz materiały autentyczne rozwijające umiejętności językowe na poziomie B2 a także rozwijające wrażliwość i kompetencję kulturową i interkulturową uczącego się.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Tematy dotyczą następujących zagadnień: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A Young Entrepreneur. 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A Successful Small Business.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The Survival of a Company. 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Trading. 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Employment and Employability.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Company Finance.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>Corporate Responsibility.</w:t>
            </w:r>
          </w:p>
          <w:p>
            <w:pPr>
              <w:pStyle w:val="BalloonText"/>
              <w:numPr>
                <w:ilvl w:val="0"/>
                <w:numId w:val="1"/>
              </w:numPr>
              <w:autoSpaceDE w:val="true"/>
              <w:snapToGrid w:val="false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 xml:space="preserve">The Global Economy. </w:t>
            </w:r>
          </w:p>
          <w:p>
            <w:pPr>
              <w:pStyle w:val="Normal"/>
              <w:widowControl/>
              <w:suppressAutoHyphens w:val="false"/>
              <w:spacing w:beforeAutospacing="1" w:afterAutospacing="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p>
      <w:pPr>
        <w:pStyle w:val="Normal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Wykaz literatury podstawowej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1098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Materiały własne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Bill Mascull. </w:t>
            </w:r>
            <w:r>
              <w:rPr>
                <w:rFonts w:cs="Arial" w:ascii="Arial" w:hAnsi="Arial"/>
                <w:i/>
                <w:sz w:val="22"/>
                <w:szCs w:val="22"/>
                <w:lang w:val="en-US"/>
              </w:rPr>
              <w:t xml:space="preserve">Business Vocabulary in Use (Advanced). 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CUP 2004. 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Deidre Howard-Williams, Cynthia Herd. </w:t>
            </w:r>
            <w:r>
              <w:rPr>
                <w:rFonts w:cs="Arial" w:ascii="Arial" w:hAnsi="Arial"/>
                <w:i/>
                <w:sz w:val="22"/>
                <w:szCs w:val="22"/>
                <w:lang w:val="en-US"/>
              </w:rPr>
              <w:t xml:space="preserve">Business Words. Essential Business Vocabulary. 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Heinemann 1992. 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Arial" w:ascii="Arial" w:hAnsi="Arial"/>
                <w:sz w:val="22"/>
                <w:szCs w:val="16"/>
                <w:lang w:val="en-US"/>
              </w:rPr>
              <w:t xml:space="preserve">Dagmara Świda. </w:t>
            </w:r>
            <w:r>
              <w:rPr>
                <w:rFonts w:cs="Arial" w:ascii="Arial" w:hAnsi="Arial"/>
                <w:i/>
                <w:sz w:val="22"/>
                <w:szCs w:val="16"/>
                <w:lang w:val="en-US"/>
              </w:rPr>
              <w:t xml:space="preserve">English for Business and Politics. </w:t>
            </w:r>
            <w:r>
              <w:rPr>
                <w:rFonts w:cs="Arial" w:ascii="Arial" w:hAnsi="Arial"/>
                <w:sz w:val="22"/>
                <w:szCs w:val="16"/>
                <w:lang w:val="en-US"/>
              </w:rPr>
              <w:t xml:space="preserve">Poltext 2000.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Wykaz literatury uzupełniającej</w:t>
      </w:r>
    </w:p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tbl>
      <w:tblPr>
        <w:tblW w:w="9622" w:type="dxa"/>
        <w:jc w:val="left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9622"/>
      </w:tblGrid>
      <w:tr>
        <w:trPr>
          <w:trHeight w:val="738" w:hRule="atLeast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widowControl/>
              <w:suppressAutoHyphens w:val="false"/>
              <w:ind w:left="405" w:hanging="0"/>
              <w:rPr>
                <w:sz w:val="22"/>
                <w:szCs w:val="22"/>
                <w:lang w:val="en-US"/>
              </w:rPr>
            </w:pPr>
            <w:r>
              <w:rPr>
                <w:rFonts w:cs="Arial" w:ascii="Arial" w:hAnsi="Arial"/>
                <w:sz w:val="20"/>
                <w:szCs w:val="20"/>
                <w:lang w:val="it-IT"/>
              </w:rPr>
              <w:t>.</w:t>
            </w:r>
          </w:p>
          <w:p>
            <w:pPr>
              <w:pStyle w:val="Normal"/>
              <w:widowControl/>
              <w:suppressAutoHyphens w:val="false"/>
              <w:ind w:left="405" w:hanging="0"/>
              <w:rPr/>
            </w:pP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Michael McCarthy, Felicity O’Dell. </w:t>
            </w:r>
            <w:r>
              <w:rPr>
                <w:rFonts w:cs="Arial" w:ascii="Arial" w:hAnsi="Arial"/>
                <w:i/>
                <w:sz w:val="22"/>
                <w:szCs w:val="22"/>
                <w:lang w:val="en-US"/>
              </w:rPr>
              <w:t xml:space="preserve">English Vocabulary in Use Advanced. 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 xml:space="preserve">Cambridge 2003.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p>
      <w:pPr>
        <w:pStyle w:val="Tekstdymka1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</w:r>
    </w:p>
    <w:p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Bilans godzinowy zgodny z CNPS (Całkowity Nakład Pracy Studenta)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582" w:type="dxa"/>
        <w:jc w:val="left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766"/>
        <w:gridCol w:w="5750"/>
        <w:gridCol w:w="1066"/>
      </w:tblGrid>
      <w:tr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20</w:t>
            </w:r>
          </w:p>
        </w:tc>
      </w:tr>
      <w:tr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</w:tr>
      <w:tr>
        <w:trPr>
          <w:trHeight w:val="365" w:hRule="atLeast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60</w:t>
            </w:r>
          </w:p>
        </w:tc>
      </w:tr>
      <w:tr>
        <w:trPr>
          <w:trHeight w:val="392" w:hRule="atLeast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color="auto" w:fill="DBE5F1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2</w:t>
            </w:r>
          </w:p>
        </w:tc>
      </w:tr>
    </w:tbl>
    <w:p>
      <w:pPr>
        <w:pStyle w:val="Tekstdymka1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dymka1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454" w:top="1276" w:footer="709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7.9pt;height:7.9pt" o:bullet="t">
        <v:imagedata r:id="rId1" o:title=""/>
      </v:shape>
    </w:pict>
  </w:numPicBullet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  <w:rFonts w:ascii="Arial" w:hAnsi="Arial" w:cs="Arial"/>
        <w:lang w:val="en-U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6ab7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c16ab7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sid w:val="00c16ab7"/>
    <w:rPr/>
  </w:style>
  <w:style w:type="character" w:styleId="Pagenumber">
    <w:name w:val="page number"/>
    <w:semiHidden/>
    <w:qFormat/>
    <w:rsid w:val="00c16ab7"/>
    <w:rPr>
      <w:sz w:val="14"/>
      <w:szCs w:val="14"/>
    </w:rPr>
  </w:style>
  <w:style w:type="character" w:styleId="Annotationreference">
    <w:name w:val="annotation reference"/>
    <w:semiHidden/>
    <w:qFormat/>
    <w:rsid w:val="00c16ab7"/>
    <w:rPr>
      <w:sz w:val="16"/>
      <w:szCs w:val="16"/>
    </w:rPr>
  </w:style>
  <w:style w:type="character" w:styleId="Footnotereference">
    <w:name w:val="footnote reference"/>
    <w:uiPriority w:val="99"/>
    <w:semiHidden/>
    <w:qFormat/>
    <w:rsid w:val="00c16ab7"/>
    <w:rPr>
      <w:vertAlign w:val="superscript"/>
    </w:rPr>
  </w:style>
  <w:style w:type="character" w:styleId="StopkaZnak" w:customStyle="1">
    <w:name w:val="Stopka Znak"/>
    <w:qFormat/>
    <w:rsid w:val="00c16ab7"/>
    <w:rPr>
      <w:sz w:val="24"/>
      <w:szCs w:val="24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926e5"/>
    <w:rPr/>
  </w:style>
  <w:style w:type="character" w:styleId="CommentTextChar" w:customStyle="1">
    <w:name w:val="Comment Text Char"/>
    <w:basedOn w:val="DefaultParagraphFont"/>
    <w:link w:val="CommentText"/>
    <w:semiHidden/>
    <w:qFormat/>
    <w:rsid w:val="00454b4b"/>
    <w:rPr/>
  </w:style>
  <w:style w:type="character" w:styleId="CommentSubjectChar" w:customStyle="1">
    <w:name w:val="Comment Subject Char"/>
    <w:link w:val="CommentSubject"/>
    <w:uiPriority w:val="99"/>
    <w:semiHidden/>
    <w:qFormat/>
    <w:rsid w:val="00454b4b"/>
    <w:rPr>
      <w:b/>
      <w:bCs/>
    </w:rPr>
  </w:style>
  <w:style w:type="character" w:styleId="BalloonTextChar" w:customStyle="1">
    <w:name w:val="Balloon Text Char"/>
    <w:link w:val="BalloonText"/>
    <w:uiPriority w:val="99"/>
    <w:semiHidden/>
    <w:qFormat/>
    <w:rsid w:val="00454b4b"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uiPriority w:val="99"/>
    <w:semiHidden/>
    <w:unhideWhenUsed/>
    <w:rsid w:val="004d6f29"/>
    <w:rPr>
      <w:color w:val="0000FF"/>
      <w:u w:val="single"/>
    </w:rPr>
  </w:style>
  <w:style w:type="character" w:styleId="Text" w:customStyle="1">
    <w:name w:val="text"/>
    <w:basedOn w:val="DefaultParagraphFont"/>
    <w:qFormat/>
    <w:rsid w:val="004c217d"/>
    <w:rPr/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sid w:val="00931fce"/>
    <w:rPr/>
  </w:style>
  <w:style w:type="character" w:styleId="Endnotereference">
    <w:name w:val="endnote reference"/>
    <w:basedOn w:val="DefaultParagraphFont"/>
    <w:uiPriority w:val="99"/>
    <w:semiHidden/>
    <w:unhideWhenUsed/>
    <w:qFormat/>
    <w:rsid w:val="00931fce"/>
    <w:rPr>
      <w:vertAlign w:val="superscript"/>
    </w:rPr>
  </w:style>
  <w:style w:type="character" w:styleId="ListLabel1">
    <w:name w:val="ListLabel 1"/>
    <w:qFormat/>
    <w:rPr>
      <w:b w:val="false"/>
      <w:sz w:val="14"/>
      <w:szCs w:val="14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sz w:val="20"/>
      <w:szCs w:val="20"/>
    </w:rPr>
  </w:style>
  <w:style w:type="character" w:styleId="ListLabel10">
    <w:name w:val="ListLabel 10"/>
    <w:qFormat/>
    <w:rPr>
      <w:rFonts w:cs="Times New Roman"/>
      <w:sz w:val="24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WW8Num6z0">
    <w:name w:val="WW8Num6z0"/>
    <w:qFormat/>
    <w:rPr>
      <w:rFonts w:ascii="Arial" w:hAnsi="Arial" w:cs="Arial"/>
      <w:sz w:val="22"/>
      <w:szCs w:val="22"/>
      <w:lang w:val="en-US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0">
    <w:name w:val="WW8Num3z0"/>
    <w:qFormat/>
    <w:rPr>
      <w:rFonts w:ascii="Arial" w:hAnsi="Arial" w:cs="Arial"/>
      <w:sz w:val="22"/>
      <w:szCs w:val="22"/>
      <w:lang w:val="en-US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semiHidden/>
    <w:rsid w:val="00c16ab7"/>
    <w:pPr>
      <w:spacing w:before="0" w:after="120"/>
    </w:pPr>
    <w:rPr/>
  </w:style>
  <w:style w:type="paragraph" w:styleId="Lista">
    <w:name w:val="List"/>
    <w:basedOn w:val="Tretekstu"/>
    <w:semiHidden/>
    <w:rsid w:val="00c16ab7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16ab7"/>
    <w:pPr>
      <w:suppressLineNumbers/>
    </w:pPr>
    <w:rPr/>
  </w:style>
  <w:style w:type="paragraph" w:styleId="Podpis1" w:customStyle="1">
    <w:name w:val="Podpis1"/>
    <w:basedOn w:val="Normal"/>
    <w:qFormat/>
    <w:rsid w:val="00c16ab7"/>
    <w:pPr>
      <w:suppressLineNumbers/>
      <w:spacing w:before="120" w:after="120"/>
    </w:pPr>
    <w:rPr>
      <w:i/>
      <w:iCs/>
    </w:rPr>
  </w:style>
  <w:style w:type="paragraph" w:styleId="Gwka">
    <w:name w:val="Header"/>
    <w:basedOn w:val="Normal"/>
    <w:next w:val="Tretekstu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"/>
    <w:semiHidden/>
    <w:rsid w:val="00c16ab7"/>
    <w:pPr>
      <w:tabs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c16ab7"/>
    <w:pPr>
      <w:suppressLineNumbers/>
    </w:pPr>
    <w:rPr/>
  </w:style>
  <w:style w:type="paragraph" w:styleId="Nagwektabeli" w:customStyle="1">
    <w:name w:val="Nagłówek tabeli"/>
    <w:basedOn w:val="Zawartotabeli"/>
    <w:qFormat/>
    <w:rsid w:val="00c16ab7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c16ab7"/>
    <w:pPr/>
    <w:rPr/>
  </w:style>
  <w:style w:type="paragraph" w:styleId="Annotationtext">
    <w:name w:val="annotation text"/>
    <w:basedOn w:val="Normal"/>
    <w:link w:val="CommentTextChar"/>
    <w:semiHidden/>
    <w:qFormat/>
    <w:rsid w:val="00c16ab7"/>
    <w:pPr/>
    <w:rPr>
      <w:sz w:val="20"/>
      <w:szCs w:val="20"/>
    </w:rPr>
  </w:style>
  <w:style w:type="paragraph" w:styleId="Tematkomentarza1" w:customStyle="1">
    <w:name w:val="Temat komentarza1"/>
    <w:basedOn w:val="Annotationtext"/>
    <w:qFormat/>
    <w:rsid w:val="00c16ab7"/>
    <w:pPr/>
    <w:rPr>
      <w:b/>
      <w:bCs/>
    </w:rPr>
  </w:style>
  <w:style w:type="paragraph" w:styleId="Tekstdymka1" w:customStyle="1">
    <w:name w:val="Tekst dymka1"/>
    <w:basedOn w:val="Normal"/>
    <w:qFormat/>
    <w:rsid w:val="00c16ab7"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c16ab7"/>
    <w:pPr/>
    <w:rPr>
      <w:sz w:val="20"/>
      <w:szCs w:val="20"/>
    </w:rPr>
  </w:style>
  <w:style w:type="paragraph" w:styleId="Default" w:customStyle="1">
    <w:name w:val="Default"/>
    <w:qFormat/>
    <w:rsid w:val="006f79e6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pl-PL" w:eastAsia="pl-PL" w:bidi="ar-SA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454b4b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4b4b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3fc2"/>
    <w:pPr>
      <w:spacing w:before="0" w:after="0"/>
      <w:ind w:left="720" w:hanging="0"/>
      <w:contextualSpacing/>
    </w:pPr>
    <w:rPr/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931fce"/>
    <w:pPr/>
    <w:rPr>
      <w:sz w:val="20"/>
      <w:szCs w:val="20"/>
    </w:rPr>
  </w:style>
  <w:style w:type="paragraph" w:styleId="WWDefault" w:customStyle="1">
    <w:name w:val="WW-Default"/>
    <w:qFormat/>
    <w:rsid w:val="00cf172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eastAsia="zh-CN" w:val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51671e"/>
    <w:pPr>
      <w:widowControl/>
      <w:suppressAutoHyphens w:val="false"/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numbering" w:styleId="WW8Num3">
    <w:name w:val="WW8Num3"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LibreOffice/5.3.3.2$Windows_x86 LibreOffice_project/3d9a8b4b4e538a85e0782bd6c2d430bafe583448</Application>
  <Pages>4</Pages>
  <Words>539</Words>
  <Characters>3469</Characters>
  <CharactersWithSpaces>3892</CharactersWithSpaces>
  <Paragraphs>137</Paragraphs>
  <Company>Akademia Pedagogiczna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2018-09-10T12:13:00Z</dcterms:created>
  <dc:creator>Barbara Wilk</dc:creator>
  <dc:description/>
  <dc:language>pl-PL</dc:language>
  <cp:lastModifiedBy/>
  <cp:lastPrinted>2012-05-30T05:23:00Z</cp:lastPrinted>
  <dcterms:modified xsi:type="dcterms:W3CDTF">2018-09-25T18:19:24Z</dcterms:modified>
  <cp:revision>6</cp:revision>
  <dc:subject/>
  <dc:title>KARTA KURSU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