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293" w:rsidRPr="00617834" w:rsidRDefault="00EF5293" w:rsidP="00EF5293">
      <w:pPr>
        <w:pStyle w:val="Podtytu"/>
        <w:rPr>
          <w:lang w:eastAsia="pl-PL"/>
        </w:rPr>
      </w:pPr>
      <w:r w:rsidRPr="00617834">
        <w:rPr>
          <w:lang w:eastAsia="pl-PL"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F5293" w:rsidRPr="00617834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F5293" w:rsidRPr="00617834" w:rsidRDefault="00EF5293" w:rsidP="007C49C4">
            <w:pPr>
              <w:pStyle w:val="Tytu"/>
              <w:rPr>
                <w:lang w:eastAsia="pl-PL"/>
              </w:rPr>
            </w:pPr>
            <w:bookmarkStart w:id="0" w:name="_Toc358203936"/>
            <w:r w:rsidRPr="00617834">
              <w:rPr>
                <w:lang w:eastAsia="pl-PL"/>
              </w:rPr>
              <w:t>Teksty kulturowe w tłumaczeniu</w:t>
            </w:r>
            <w:bookmarkEnd w:id="0"/>
          </w:p>
        </w:tc>
      </w:tr>
      <w:tr w:rsidR="00EF5293" w:rsidRPr="00E64D01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F5293" w:rsidRPr="00DD776C" w:rsidRDefault="00EF5293" w:rsidP="007C49C4">
            <w:pPr>
              <w:widowControl w:val="0"/>
              <w:suppressLineNumbers/>
              <w:suppressAutoHyphens/>
              <w:autoSpaceDE w:val="0"/>
              <w:rPr>
                <w:rFonts w:ascii="Calibri" w:eastAsia="Times New Roman" w:hAnsi="Calibri" w:cs="Arial"/>
                <w:b/>
                <w:szCs w:val="16"/>
                <w:lang w:val="en-US" w:eastAsia="pl-PL"/>
              </w:rPr>
            </w:pPr>
            <w:proofErr w:type="spellStart"/>
            <w:r w:rsidRPr="00DD776C">
              <w:rPr>
                <w:rFonts w:ascii="Calibri" w:eastAsia="Times New Roman" w:hAnsi="Calibri" w:cs="Arial"/>
                <w:b/>
                <w:szCs w:val="16"/>
                <w:lang w:val="en-US" w:eastAsia="pl-PL"/>
              </w:rPr>
              <w:t>Textes</w:t>
            </w:r>
            <w:proofErr w:type="spellEnd"/>
            <w:r w:rsidRPr="00DD776C">
              <w:rPr>
                <w:rFonts w:ascii="Calibri" w:eastAsia="Times New Roman" w:hAnsi="Calibri" w:cs="Arial"/>
                <w:b/>
                <w:szCs w:val="16"/>
                <w:lang w:val="en-US" w:eastAsia="pl-PL"/>
              </w:rPr>
              <w:t xml:space="preserve"> of Culture in Translation</w:t>
            </w:r>
          </w:p>
        </w:tc>
      </w:tr>
    </w:tbl>
    <w:p w:rsidR="00EF5293" w:rsidRPr="00DD776C" w:rsidRDefault="00EF5293" w:rsidP="00EF5293">
      <w:pPr>
        <w:widowControl w:val="0"/>
        <w:suppressAutoHyphens/>
        <w:autoSpaceDE w:val="0"/>
        <w:jc w:val="center"/>
        <w:rPr>
          <w:rFonts w:ascii="Calibri" w:eastAsia="Times New Roman" w:hAnsi="Calibri" w:cs="Arial"/>
          <w:szCs w:val="16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F5293" w:rsidRPr="00617834" w:rsidTr="007C49C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jc w:val="center"/>
              <w:textAlignment w:val="baseline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ind w:left="45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ind w:left="45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F5293" w:rsidRPr="00617834" w:rsidRDefault="00E64D01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>
              <w:rPr>
                <w:rFonts w:ascii="Calibri" w:eastAsia="Times New Roman" w:hAnsi="Calibri" w:cs="Arial"/>
                <w:szCs w:val="16"/>
                <w:lang w:eastAsia="pl-PL"/>
              </w:rPr>
              <w:t>3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jc w:val="center"/>
        <w:rPr>
          <w:rFonts w:ascii="Calibri" w:eastAsia="Times New Roman" w:hAnsi="Calibri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F5293" w:rsidRPr="00617834" w:rsidTr="007C49C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ind w:right="2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>
              <w:rPr>
                <w:rFonts w:ascii="Calibri" w:eastAsia="Times New Roman" w:hAnsi="Calibri" w:cs="Arial"/>
                <w:szCs w:val="16"/>
                <w:lang w:val="cs-CZ" w:eastAsia="pl-PL"/>
              </w:rPr>
              <w:t>Katedra</w:t>
            </w:r>
            <w:r w:rsidRPr="00617834">
              <w:rPr>
                <w:rFonts w:ascii="Calibri" w:eastAsia="Times New Roman" w:hAnsi="Calibri" w:cs="Arial"/>
                <w:szCs w:val="16"/>
                <w:lang w:val="cs-CZ" w:eastAsia="pl-PL"/>
              </w:rPr>
              <w:t xml:space="preserve"> Literatur </w:t>
            </w:r>
            <w:r>
              <w:rPr>
                <w:rFonts w:ascii="Calibri" w:eastAsia="Times New Roman" w:hAnsi="Calibri" w:cs="Arial"/>
                <w:szCs w:val="16"/>
                <w:lang w:val="cs-CZ" w:eastAsia="pl-PL"/>
              </w:rPr>
              <w:t>Francuskiego Obszaru Jezykowego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Zespół dydaktyczny</w:t>
            </w:r>
          </w:p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>
              <w:rPr>
                <w:rFonts w:ascii="Calibri" w:eastAsia="Times New Roman" w:hAnsi="Calibri" w:cs="Arial"/>
                <w:szCs w:val="16"/>
                <w:lang w:val="cs-CZ" w:eastAsia="pl-PL"/>
              </w:rPr>
              <w:t>Katedra</w:t>
            </w:r>
            <w:r w:rsidRPr="00617834">
              <w:rPr>
                <w:rFonts w:ascii="Calibri" w:eastAsia="Times New Roman" w:hAnsi="Calibri" w:cs="Arial"/>
                <w:szCs w:val="16"/>
                <w:lang w:val="cs-CZ" w:eastAsia="pl-PL"/>
              </w:rPr>
              <w:t xml:space="preserve"> Literatur</w:t>
            </w:r>
            <w:r>
              <w:rPr>
                <w:rFonts w:ascii="Calibri" w:eastAsia="Times New Roman" w:hAnsi="Calibri" w:cs="Arial"/>
                <w:szCs w:val="16"/>
                <w:lang w:val="cs-CZ" w:eastAsia="pl-PL"/>
              </w:rPr>
              <w:t xml:space="preserve"> Franc. Obsz. Język.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5293" w:rsidRPr="00617834" w:rsidTr="007C49C4">
        <w:trPr>
          <w:trHeight w:val="718"/>
        </w:trPr>
        <w:tc>
          <w:tcPr>
            <w:tcW w:w="9284" w:type="dxa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Celem kursu jest zapoznanie studentów z szeroko pojętym wachlarzem tekstów kulturowych, które staną się przedmiotem analizy oraz podstawą pracy przekładowej. Badania kulturowe za przedmiot analizy obierają wszystkie te zjawiska, które  da się badać w przestrzeni kultury: literaturę popularną, teksty muzyki rozrywkowej, teksty na temat sportu, muzyki itp.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8"/>
        <w:gridCol w:w="4946"/>
        <w:gridCol w:w="2320"/>
      </w:tblGrid>
      <w:tr w:rsidR="00EF5293" w:rsidRPr="00617834" w:rsidTr="007C49C4">
        <w:trPr>
          <w:cantSplit/>
          <w:trHeight w:val="930"/>
        </w:trPr>
        <w:tc>
          <w:tcPr>
            <w:tcW w:w="1901" w:type="dxa"/>
            <w:vMerge w:val="restart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Wiedza</w:t>
            </w:r>
          </w:p>
        </w:tc>
        <w:tc>
          <w:tcPr>
            <w:tcW w:w="5050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Efekt kształcenia dla kursu</w:t>
            </w:r>
          </w:p>
        </w:tc>
        <w:tc>
          <w:tcPr>
            <w:tcW w:w="2333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Odniesienie do efektów dla specjalności 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EF5293" w:rsidRPr="00617834" w:rsidTr="007C49C4">
        <w:trPr>
          <w:cantSplit/>
          <w:trHeight w:val="720"/>
        </w:trPr>
        <w:tc>
          <w:tcPr>
            <w:tcW w:w="1901" w:type="dxa"/>
            <w:vMerge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5050" w:type="dxa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W01: Student ma pogłębioną wiedzę o kompleksowej naturze języka i historycznej zmienności jego znaczeń.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W02: Ma uporządkowaną wiedzę z zakresu specyfiki przekładu w kontekście tłumaczenia tekstów kulturowych</w:t>
            </w:r>
          </w:p>
        </w:tc>
        <w:tc>
          <w:tcPr>
            <w:tcW w:w="2333" w:type="dxa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K2_W09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K2_W04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F5293" w:rsidRPr="00617834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Odniesienie do efektów dla specjalności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EF5293" w:rsidRPr="00617834" w:rsidTr="007C49C4">
        <w:trPr>
          <w:cantSplit/>
          <w:trHeight w:val="818"/>
        </w:trPr>
        <w:tc>
          <w:tcPr>
            <w:tcW w:w="1985" w:type="dxa"/>
            <w:vMerge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5245" w:type="dxa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U01: Student potrafi przeprowadzić krytyczną analizę i interpretację różnych rodzajów tekstów  kulturowych.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U02: Posiada umiejętność formułowania opinii krytycznych na temat tłumaczeń na podstawie zdobytej wiedzy oraz własnego doświadczenia</w:t>
            </w:r>
          </w:p>
        </w:tc>
        <w:tc>
          <w:tcPr>
            <w:tcW w:w="2410" w:type="dxa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K2_U05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K2_U07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862"/>
        <w:gridCol w:w="2355"/>
      </w:tblGrid>
      <w:tr w:rsidR="00EF5293" w:rsidRPr="00617834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EF5293" w:rsidRPr="00617834" w:rsidTr="007C49C4">
        <w:trPr>
          <w:cantSplit/>
          <w:trHeight w:val="973"/>
        </w:trPr>
        <w:tc>
          <w:tcPr>
            <w:tcW w:w="1985" w:type="dxa"/>
            <w:vMerge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5245" w:type="dxa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K01: Prawidłowo identyfikuje i rozstrzyga dylematy związane z wykonywaniem zawodu tłumacza.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K02: Systematycznie uczestnicy w życiu kulturalnym, interesuje się aktualnymi wydarzeniami kulturalnymi, nowatorskimi formami wyrazu artystycznego.</w:t>
            </w:r>
          </w:p>
        </w:tc>
        <w:tc>
          <w:tcPr>
            <w:tcW w:w="2410" w:type="dxa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K2_K06</w:t>
            </w: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K2_K08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F5293" w:rsidRPr="00617834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ind w:left="45" w:right="137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Organizacja</w:t>
            </w:r>
          </w:p>
        </w:tc>
      </w:tr>
      <w:tr w:rsidR="00EF5293" w:rsidRPr="00617834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Wykład</w:t>
            </w:r>
          </w:p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Ćwiczenia w grupach</w:t>
            </w:r>
          </w:p>
        </w:tc>
      </w:tr>
      <w:tr w:rsidR="00EF5293" w:rsidRPr="00617834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  <w:tr w:rsidR="00EF5293" w:rsidRPr="00617834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</w:tbl>
    <w:p w:rsidR="00EF5293" w:rsidRPr="00617834" w:rsidRDefault="00EF5293" w:rsidP="00EF5293">
      <w:pPr>
        <w:widowControl w:val="0"/>
        <w:suppressLineNumbers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5293" w:rsidRPr="00617834" w:rsidTr="007C49C4">
        <w:trPr>
          <w:trHeight w:val="363"/>
        </w:trPr>
        <w:tc>
          <w:tcPr>
            <w:tcW w:w="9284" w:type="dxa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Zajęcia konwersatoryjne. Analiza i dyskusja na temat przeczytanych tekstów oraz analiza krytyczna wykonanych przez studentów przekładów.</w:t>
            </w:r>
          </w:p>
        </w:tc>
      </w:tr>
    </w:tbl>
    <w:p w:rsidR="00EF5293" w:rsidRPr="00617834" w:rsidRDefault="00EF5293" w:rsidP="00EF5293">
      <w:pPr>
        <w:widowControl w:val="0"/>
        <w:suppressLineNumbers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>Formy sprawdzania efektów kształcenia</w:t>
      </w:r>
    </w:p>
    <w:p w:rsidR="00EF5293" w:rsidRPr="00617834" w:rsidRDefault="00EF5293" w:rsidP="00EF5293">
      <w:pPr>
        <w:widowControl w:val="0"/>
        <w:suppressLineNumbers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68"/>
        <w:gridCol w:w="654"/>
        <w:gridCol w:w="654"/>
        <w:gridCol w:w="654"/>
        <w:gridCol w:w="654"/>
        <w:gridCol w:w="654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 w:rsidR="00EF5293" w:rsidRPr="00617834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E – </w:t>
            </w:r>
            <w:r w:rsidRPr="00617834">
              <w:rPr>
                <w:rFonts w:ascii="Calibri" w:eastAsia="Times New Roman" w:hAnsi="Calibri" w:cs="Arial"/>
                <w:szCs w:val="16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Inne</w:t>
            </w:r>
          </w:p>
        </w:tc>
      </w:tr>
      <w:tr w:rsidR="00EF5293" w:rsidRPr="00617834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  <w:tr w:rsidR="00EF5293" w:rsidRPr="00617834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  <w:tr w:rsidR="00EF5293" w:rsidRPr="00617834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  <w:tr w:rsidR="00EF5293" w:rsidRPr="00617834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  <w:tr w:rsidR="00EF5293" w:rsidRPr="00617834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  <w:tr w:rsidR="00EF5293" w:rsidRPr="00617834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F5293" w:rsidRPr="00617834" w:rsidRDefault="00EF5293" w:rsidP="007C49C4">
            <w:pPr>
              <w:widowControl w:val="0"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</w:p>
        </w:tc>
      </w:tr>
    </w:tbl>
    <w:p w:rsidR="00EF5293" w:rsidRPr="00617834" w:rsidRDefault="00EF5293" w:rsidP="00EF5293">
      <w:pPr>
        <w:widowControl w:val="0"/>
        <w:suppressLineNumbers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F5293" w:rsidRPr="00617834" w:rsidTr="007C49C4">
        <w:tc>
          <w:tcPr>
            <w:tcW w:w="1941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Ocenie podlega obecność i aktywny udział studenta podczas zajęć</w:t>
            </w:r>
            <w:r w:rsidR="00E64D01">
              <w:rPr>
                <w:rFonts w:ascii="Calibri" w:eastAsia="Times New Roman" w:hAnsi="Calibri" w:cs="Arial"/>
                <w:szCs w:val="16"/>
                <w:lang w:eastAsia="pl-PL"/>
              </w:rPr>
              <w:t>. Zaliczenie na ocenę.</w:t>
            </w:r>
            <w:bookmarkStart w:id="1" w:name="_GoBack"/>
            <w:bookmarkEnd w:id="1"/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F5293" w:rsidRPr="00617834" w:rsidTr="007C49C4">
        <w:trPr>
          <w:trHeight w:val="258"/>
        </w:trPr>
        <w:tc>
          <w:tcPr>
            <w:tcW w:w="1941" w:type="dxa"/>
            <w:shd w:val="clear" w:color="auto" w:fill="DBE5F1"/>
            <w:vAlign w:val="center"/>
          </w:tcPr>
          <w:p w:rsidR="00EF5293" w:rsidRPr="00617834" w:rsidRDefault="00EF5293" w:rsidP="007C49C4">
            <w:pPr>
              <w:widowControl w:val="0"/>
              <w:suppressAutoHyphens/>
              <w:jc w:val="center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F5293" w:rsidRPr="00617834" w:rsidRDefault="00EF5293" w:rsidP="007C49C4">
            <w:pPr>
              <w:widowControl w:val="0"/>
              <w:suppressLineNumbers/>
              <w:suppressAutoHyphens/>
              <w:autoSpaceDE w:val="0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Konwersatorium odbywa się w języku francuskim i polskim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5293" w:rsidRPr="00617834" w:rsidTr="007C49C4">
        <w:trPr>
          <w:trHeight w:val="808"/>
        </w:trPr>
        <w:tc>
          <w:tcPr>
            <w:tcW w:w="9284" w:type="dxa"/>
          </w:tcPr>
          <w:p w:rsidR="00EF5293" w:rsidRPr="00617834" w:rsidRDefault="00EF5293" w:rsidP="00EF529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Czym jest kultura?</w:t>
            </w:r>
          </w:p>
          <w:p w:rsidR="00EF5293" w:rsidRPr="00617834" w:rsidRDefault="00EF5293" w:rsidP="00EF529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Tożsamość kulturowa</w:t>
            </w:r>
          </w:p>
          <w:p w:rsidR="00EF5293" w:rsidRPr="00617834" w:rsidRDefault="00EF5293" w:rsidP="00EF529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Wymiana kulturowa</w:t>
            </w:r>
          </w:p>
          <w:p w:rsidR="00EF5293" w:rsidRPr="00617834" w:rsidRDefault="00EF5293" w:rsidP="00EF5293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Polityczne podłoże badań kulturowych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5293" w:rsidRPr="00617834" w:rsidTr="007C49C4">
        <w:trPr>
          <w:trHeight w:val="715"/>
        </w:trPr>
        <w:tc>
          <w:tcPr>
            <w:tcW w:w="9284" w:type="dxa"/>
          </w:tcPr>
          <w:p w:rsidR="00EF5293" w:rsidRPr="00617834" w:rsidRDefault="00EF5293" w:rsidP="00EF529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val="fr-FR"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val="fr-FR" w:eastAsia="pl-PL"/>
              </w:rPr>
              <w:t xml:space="preserve">J-L Cordonnier </w:t>
            </w:r>
            <w:r w:rsidRPr="00617834">
              <w:rPr>
                <w:rFonts w:ascii="Calibri" w:eastAsia="Times New Roman" w:hAnsi="Calibri" w:cs="Arial"/>
                <w:i/>
                <w:szCs w:val="16"/>
                <w:lang w:val="fr-FR" w:eastAsia="pl-PL"/>
              </w:rPr>
              <w:t>Traduction et culture</w:t>
            </w:r>
            <w:r w:rsidRPr="00617834">
              <w:rPr>
                <w:rFonts w:ascii="Calibri" w:eastAsia="Times New Roman" w:hAnsi="Calibri" w:cs="Arial"/>
                <w:szCs w:val="16"/>
                <w:lang w:val="fr-FR" w:eastAsia="pl-PL"/>
              </w:rPr>
              <w:t>, Paris 1996</w:t>
            </w:r>
          </w:p>
          <w:p w:rsidR="00EF5293" w:rsidRPr="00617834" w:rsidRDefault="00EF5293" w:rsidP="00EF529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proofErr w:type="spellStart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G.Steiner</w:t>
            </w:r>
            <w:proofErr w:type="spellEnd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 </w:t>
            </w:r>
            <w:r w:rsidRPr="00617834">
              <w:rPr>
                <w:rFonts w:ascii="Calibri" w:eastAsia="Times New Roman" w:hAnsi="Calibri" w:cs="Arial"/>
                <w:i/>
                <w:szCs w:val="16"/>
                <w:lang w:eastAsia="pl-PL"/>
              </w:rPr>
              <w:t>Po wieży Babel</w:t>
            </w: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, Kraków 2000</w:t>
            </w:r>
          </w:p>
          <w:p w:rsidR="00EF5293" w:rsidRPr="00617834" w:rsidRDefault="00EF5293" w:rsidP="00EF5293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proofErr w:type="spellStart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Homi</w:t>
            </w:r>
            <w:proofErr w:type="spellEnd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 K. </w:t>
            </w:r>
            <w:proofErr w:type="spellStart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Bhabha</w:t>
            </w:r>
            <w:proofErr w:type="spellEnd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 </w:t>
            </w:r>
            <w:r w:rsidRPr="00617834">
              <w:rPr>
                <w:rFonts w:ascii="Calibri" w:eastAsia="Times New Roman" w:hAnsi="Calibri" w:cs="Arial"/>
                <w:i/>
                <w:szCs w:val="16"/>
                <w:lang w:eastAsia="pl-PL"/>
              </w:rPr>
              <w:t>Miejsca kultury</w:t>
            </w: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, Kraków2010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5293" w:rsidRPr="00617834" w:rsidTr="007C49C4">
        <w:trPr>
          <w:trHeight w:val="58"/>
        </w:trPr>
        <w:tc>
          <w:tcPr>
            <w:tcW w:w="9284" w:type="dxa"/>
          </w:tcPr>
          <w:p w:rsidR="00EF5293" w:rsidRPr="00617834" w:rsidRDefault="00EF5293" w:rsidP="00EF529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Urszula </w:t>
            </w:r>
            <w:proofErr w:type="spellStart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Dąmbska</w:t>
            </w:r>
            <w:proofErr w:type="spellEnd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-Prokop </w:t>
            </w:r>
            <w:r w:rsidRPr="00617834">
              <w:rPr>
                <w:rFonts w:ascii="Calibri" w:eastAsia="Times New Roman" w:hAnsi="Calibri" w:cs="Arial"/>
                <w:i/>
                <w:szCs w:val="16"/>
                <w:lang w:eastAsia="pl-PL"/>
              </w:rPr>
              <w:t>Warsztat tłumacza i jego pułapki</w:t>
            </w: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, Kielce 2005</w:t>
            </w:r>
          </w:p>
          <w:p w:rsidR="00EF5293" w:rsidRPr="00617834" w:rsidRDefault="00EF5293" w:rsidP="00EF529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lastRenderedPageBreak/>
              <w:t xml:space="preserve">Karl Dedecius </w:t>
            </w:r>
            <w:r w:rsidRPr="00617834">
              <w:rPr>
                <w:rFonts w:ascii="Calibri" w:eastAsia="Times New Roman" w:hAnsi="Calibri" w:cs="Arial"/>
                <w:i/>
                <w:szCs w:val="16"/>
                <w:lang w:eastAsia="pl-PL"/>
              </w:rPr>
              <w:t>Notatnik tłumacza</w:t>
            </w: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, Kraków 1974</w:t>
            </w:r>
          </w:p>
          <w:p w:rsidR="00EF5293" w:rsidRPr="00617834" w:rsidRDefault="00EF5293" w:rsidP="00EF529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Calibri" w:eastAsia="Times New Roman" w:hAnsi="Calibri" w:cs="Arial"/>
                <w:szCs w:val="16"/>
                <w:lang w:eastAsia="pl-PL"/>
              </w:rPr>
            </w:pP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Urszula </w:t>
            </w:r>
            <w:proofErr w:type="spellStart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Dąmbska</w:t>
            </w:r>
            <w:proofErr w:type="spellEnd"/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 xml:space="preserve">-Prokop </w:t>
            </w:r>
            <w:r w:rsidRPr="00617834">
              <w:rPr>
                <w:rFonts w:ascii="Calibri" w:eastAsia="Times New Roman" w:hAnsi="Calibri" w:cs="Arial"/>
                <w:i/>
                <w:szCs w:val="16"/>
                <w:lang w:eastAsia="pl-PL"/>
              </w:rPr>
              <w:t>Nowa encyklopedia przekładoznawstwa</w:t>
            </w:r>
            <w:r w:rsidRPr="00617834">
              <w:rPr>
                <w:rFonts w:ascii="Calibri" w:eastAsia="Times New Roman" w:hAnsi="Calibri" w:cs="Arial"/>
                <w:szCs w:val="16"/>
                <w:lang w:eastAsia="pl-PL"/>
              </w:rPr>
              <w:t>, Kielce 2010</w:t>
            </w:r>
          </w:p>
        </w:tc>
      </w:tr>
    </w:tbl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</w:p>
    <w:p w:rsidR="00EF5293" w:rsidRPr="00617834" w:rsidRDefault="00EF5293" w:rsidP="00EF5293">
      <w:pPr>
        <w:widowControl w:val="0"/>
        <w:suppressAutoHyphens/>
        <w:autoSpaceDE w:val="0"/>
        <w:rPr>
          <w:rFonts w:ascii="Calibri" w:eastAsia="Times New Roman" w:hAnsi="Calibri" w:cs="Arial"/>
          <w:szCs w:val="16"/>
          <w:lang w:eastAsia="pl-PL"/>
        </w:rPr>
      </w:pPr>
      <w:r w:rsidRPr="00617834">
        <w:rPr>
          <w:rFonts w:ascii="Calibri" w:eastAsia="Times New Roman" w:hAnsi="Calibri" w:cs="Arial"/>
          <w:szCs w:val="16"/>
          <w:lang w:eastAsia="pl-PL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382"/>
        <w:gridCol w:w="1039"/>
      </w:tblGrid>
      <w:tr w:rsidR="00EF5293" w:rsidRPr="00617834" w:rsidTr="007C49C4">
        <w:trPr>
          <w:cantSplit/>
          <w:trHeight w:val="334"/>
        </w:trPr>
        <w:tc>
          <w:tcPr>
            <w:tcW w:w="2695" w:type="dxa"/>
            <w:vMerge w:val="restart"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Ilość godzin w kontakcie z prowadzącymi</w:t>
            </w:r>
          </w:p>
        </w:tc>
        <w:tc>
          <w:tcPr>
            <w:tcW w:w="5542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Wykład</w:t>
            </w:r>
          </w:p>
        </w:tc>
        <w:tc>
          <w:tcPr>
            <w:tcW w:w="1051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</w:p>
        </w:tc>
      </w:tr>
      <w:tr w:rsidR="00EF5293" w:rsidRPr="00617834" w:rsidTr="007C49C4">
        <w:trPr>
          <w:cantSplit/>
          <w:trHeight w:val="332"/>
        </w:trPr>
        <w:tc>
          <w:tcPr>
            <w:tcW w:w="2695" w:type="dxa"/>
            <w:vMerge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</w:p>
        </w:tc>
        <w:tc>
          <w:tcPr>
            <w:tcW w:w="5542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Konwersatorium (ćwiczenia, laboratorium itd.)</w:t>
            </w:r>
          </w:p>
        </w:tc>
        <w:tc>
          <w:tcPr>
            <w:tcW w:w="1051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30</w:t>
            </w:r>
          </w:p>
        </w:tc>
      </w:tr>
      <w:tr w:rsidR="00EF5293" w:rsidRPr="00617834" w:rsidTr="007C49C4">
        <w:trPr>
          <w:cantSplit/>
          <w:trHeight w:val="670"/>
        </w:trPr>
        <w:tc>
          <w:tcPr>
            <w:tcW w:w="2695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</w:p>
        </w:tc>
        <w:tc>
          <w:tcPr>
            <w:tcW w:w="5542" w:type="dxa"/>
            <w:tcBorders>
              <w:bottom w:val="single" w:sz="4" w:space="0" w:color="95B3D7"/>
            </w:tcBorders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Pozostałe godziny kontaktu studenta z prowadzącym</w:t>
            </w:r>
          </w:p>
        </w:tc>
        <w:tc>
          <w:tcPr>
            <w:tcW w:w="1051" w:type="dxa"/>
            <w:tcBorders>
              <w:bottom w:val="single" w:sz="4" w:space="0" w:color="95B3D7"/>
            </w:tcBorders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10</w:t>
            </w:r>
          </w:p>
        </w:tc>
      </w:tr>
      <w:tr w:rsidR="00EF5293" w:rsidRPr="00617834" w:rsidTr="007C49C4">
        <w:trPr>
          <w:cantSplit/>
          <w:trHeight w:val="348"/>
        </w:trPr>
        <w:tc>
          <w:tcPr>
            <w:tcW w:w="2695" w:type="dxa"/>
            <w:vMerge w:val="restart"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Ilość godzin pracy studenta bez kontaktu z prowadzącymi</w:t>
            </w:r>
          </w:p>
        </w:tc>
        <w:tc>
          <w:tcPr>
            <w:tcW w:w="5542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Lektura w ramach przygotowania do zajęć</w:t>
            </w:r>
          </w:p>
        </w:tc>
        <w:tc>
          <w:tcPr>
            <w:tcW w:w="1051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  <w:r>
              <w:rPr>
                <w:rFonts w:ascii="Calibri" w:eastAsia="Calibri" w:hAnsi="Calibri" w:cs="Arial"/>
                <w:szCs w:val="16"/>
              </w:rPr>
              <w:t>1</w:t>
            </w:r>
            <w:r w:rsidRPr="00617834">
              <w:rPr>
                <w:rFonts w:ascii="Calibri" w:eastAsia="Calibri" w:hAnsi="Calibri" w:cs="Arial"/>
                <w:szCs w:val="16"/>
              </w:rPr>
              <w:t>0</w:t>
            </w:r>
          </w:p>
        </w:tc>
      </w:tr>
      <w:tr w:rsidR="00EF5293" w:rsidRPr="00617834" w:rsidTr="007C49C4">
        <w:trPr>
          <w:cantSplit/>
          <w:trHeight w:val="710"/>
        </w:trPr>
        <w:tc>
          <w:tcPr>
            <w:tcW w:w="2695" w:type="dxa"/>
            <w:vMerge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</w:p>
        </w:tc>
        <w:tc>
          <w:tcPr>
            <w:tcW w:w="5542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Przygotowanie krótkiej pracy pisemnej lub referatu po zapoznaniu się z niezbędną literaturą przedmiotu</w:t>
            </w:r>
          </w:p>
        </w:tc>
        <w:tc>
          <w:tcPr>
            <w:tcW w:w="1051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</w:p>
        </w:tc>
      </w:tr>
      <w:tr w:rsidR="00EF5293" w:rsidRPr="00617834" w:rsidTr="007C49C4">
        <w:trPr>
          <w:cantSplit/>
          <w:trHeight w:val="731"/>
        </w:trPr>
        <w:tc>
          <w:tcPr>
            <w:tcW w:w="2695" w:type="dxa"/>
            <w:vMerge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</w:p>
        </w:tc>
        <w:tc>
          <w:tcPr>
            <w:tcW w:w="5542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Przygotowanie projektu lub prezentacji na podany temat (praca w grupie)</w:t>
            </w:r>
          </w:p>
        </w:tc>
        <w:tc>
          <w:tcPr>
            <w:tcW w:w="1051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  <w:r>
              <w:rPr>
                <w:rFonts w:ascii="Calibri" w:eastAsia="Calibri" w:hAnsi="Calibri" w:cs="Arial"/>
                <w:szCs w:val="16"/>
              </w:rPr>
              <w:t>10</w:t>
            </w:r>
          </w:p>
        </w:tc>
      </w:tr>
      <w:tr w:rsidR="00EF5293" w:rsidRPr="00617834" w:rsidTr="007C49C4">
        <w:trPr>
          <w:cantSplit/>
          <w:trHeight w:val="557"/>
        </w:trPr>
        <w:tc>
          <w:tcPr>
            <w:tcW w:w="2695" w:type="dxa"/>
            <w:vMerge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</w:p>
        </w:tc>
        <w:tc>
          <w:tcPr>
            <w:tcW w:w="5542" w:type="dxa"/>
            <w:tcBorders>
              <w:bottom w:val="single" w:sz="4" w:space="0" w:color="17365D"/>
            </w:tcBorders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Przygotowanie do egzaminu</w:t>
            </w:r>
          </w:p>
        </w:tc>
        <w:tc>
          <w:tcPr>
            <w:tcW w:w="1051" w:type="dxa"/>
            <w:tcBorders>
              <w:bottom w:val="single" w:sz="4" w:space="0" w:color="17365D"/>
            </w:tcBorders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  <w:r>
              <w:rPr>
                <w:rFonts w:ascii="Calibri" w:eastAsia="Calibri" w:hAnsi="Calibri" w:cs="Arial"/>
                <w:szCs w:val="16"/>
              </w:rPr>
              <w:t>10</w:t>
            </w:r>
          </w:p>
        </w:tc>
      </w:tr>
      <w:tr w:rsidR="00EF5293" w:rsidRPr="00617834" w:rsidTr="007C49C4">
        <w:trPr>
          <w:trHeight w:val="365"/>
        </w:trPr>
        <w:tc>
          <w:tcPr>
            <w:tcW w:w="8237" w:type="dxa"/>
            <w:gridSpan w:val="2"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Ogółem bilans czasu pracy</w:t>
            </w:r>
          </w:p>
        </w:tc>
        <w:tc>
          <w:tcPr>
            <w:tcW w:w="1051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  <w:r>
              <w:rPr>
                <w:rFonts w:ascii="Calibri" w:eastAsia="Calibri" w:hAnsi="Calibri" w:cs="Arial"/>
                <w:szCs w:val="16"/>
              </w:rPr>
              <w:t>80</w:t>
            </w:r>
          </w:p>
        </w:tc>
      </w:tr>
      <w:tr w:rsidR="00EF5293" w:rsidRPr="00617834" w:rsidTr="007C49C4">
        <w:trPr>
          <w:trHeight w:val="392"/>
        </w:trPr>
        <w:tc>
          <w:tcPr>
            <w:tcW w:w="8237" w:type="dxa"/>
            <w:gridSpan w:val="2"/>
            <w:shd w:val="clear" w:color="auto" w:fill="DBE5F1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center"/>
              <w:rPr>
                <w:rFonts w:ascii="Calibri" w:eastAsia="Calibri" w:hAnsi="Calibri" w:cs="Arial"/>
                <w:szCs w:val="16"/>
              </w:rPr>
            </w:pPr>
            <w:r w:rsidRPr="00617834">
              <w:rPr>
                <w:rFonts w:ascii="Calibri" w:eastAsia="Calibri" w:hAnsi="Calibri" w:cs="Arial"/>
                <w:szCs w:val="16"/>
              </w:rPr>
              <w:t>Ilość punktów ECTS w zależności od przyjętego przelicznika</w:t>
            </w:r>
          </w:p>
        </w:tc>
        <w:tc>
          <w:tcPr>
            <w:tcW w:w="1051" w:type="dxa"/>
            <w:vAlign w:val="center"/>
          </w:tcPr>
          <w:p w:rsidR="00EF5293" w:rsidRPr="00617834" w:rsidRDefault="00EF5293" w:rsidP="007C49C4">
            <w:pPr>
              <w:suppressAutoHyphens/>
              <w:ind w:left="360"/>
              <w:jc w:val="both"/>
              <w:rPr>
                <w:rFonts w:ascii="Calibri" w:eastAsia="Calibri" w:hAnsi="Calibri" w:cs="Arial"/>
                <w:szCs w:val="16"/>
              </w:rPr>
            </w:pPr>
            <w:r>
              <w:rPr>
                <w:rFonts w:ascii="Calibri" w:eastAsia="Calibri" w:hAnsi="Calibri" w:cs="Arial"/>
                <w:szCs w:val="16"/>
              </w:rPr>
              <w:t>3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B5E75"/>
    <w:multiLevelType w:val="hybridMultilevel"/>
    <w:tmpl w:val="E92CD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C2FB6"/>
    <w:multiLevelType w:val="hybridMultilevel"/>
    <w:tmpl w:val="0F1AB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044EF"/>
    <w:multiLevelType w:val="hybridMultilevel"/>
    <w:tmpl w:val="70C6F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93"/>
    <w:rsid w:val="00185CBC"/>
    <w:rsid w:val="00CE5F3A"/>
    <w:rsid w:val="00E64D01"/>
    <w:rsid w:val="00E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55C7"/>
  <w15:chartTrackingRefBased/>
  <w15:docId w15:val="{A73CF485-A817-4A07-9F1A-393FA6B5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529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EF5293"/>
    <w:pPr>
      <w:spacing w:before="120" w:after="120" w:line="240" w:lineRule="auto"/>
      <w:jc w:val="center"/>
      <w:outlineLvl w:val="1"/>
    </w:pPr>
    <w:rPr>
      <w:rFonts w:ascii="Arial" w:eastAsia="Times New Roman" w:hAnsi="Arial" w:cs="Times New Roman"/>
      <w:b/>
      <w:caps/>
      <w:sz w:val="18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F5293"/>
    <w:rPr>
      <w:rFonts w:ascii="Arial" w:eastAsia="Times New Roman" w:hAnsi="Arial" w:cs="Times New Roman"/>
      <w:b/>
      <w:caps/>
      <w:sz w:val="18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EF5293"/>
    <w:pPr>
      <w:spacing w:after="0" w:line="240" w:lineRule="auto"/>
      <w:outlineLvl w:val="0"/>
    </w:pPr>
    <w:rPr>
      <w:rFonts w:ascii="Arial" w:eastAsia="Times New Roman" w:hAnsi="Arial" w:cs="Times New Roman"/>
      <w:b/>
      <w:bCs/>
      <w:caps/>
      <w:kern w:val="28"/>
      <w:sz w:val="16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EF5293"/>
    <w:rPr>
      <w:rFonts w:ascii="Arial" w:eastAsia="Times New Roman" w:hAnsi="Arial" w:cs="Times New Roman"/>
      <w:b/>
      <w:bCs/>
      <w:caps/>
      <w:kern w:val="28"/>
      <w:sz w:val="1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2018-06-12T16:31:00Z</dcterms:created>
  <dcterms:modified xsi:type="dcterms:W3CDTF">2018-10-23T09:46:00Z</dcterms:modified>
</cp:coreProperties>
</file>