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1E2" w:rsidRDefault="00F701E2" w:rsidP="00F701E2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F701E2" w:rsidRDefault="00F701E2" w:rsidP="00F701E2">
      <w:pPr>
        <w:jc w:val="center"/>
        <w:rPr>
          <w:rFonts w:ascii="Arial" w:eastAsia="Calibri" w:hAnsi="Arial" w:cs="Arial"/>
          <w:szCs w:val="14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701E2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701E2" w:rsidRDefault="00F701E2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F701E2" w:rsidRDefault="00F701E2" w:rsidP="007C49C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Maghrebu</w:t>
            </w:r>
            <w:proofErr w:type="spellEnd"/>
          </w:p>
        </w:tc>
      </w:tr>
      <w:tr w:rsidR="00F701E2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701E2" w:rsidRDefault="00F701E2" w:rsidP="007C49C4">
            <w:pPr>
              <w:spacing w:before="57"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701E2" w:rsidRDefault="00F701E2" w:rsidP="007C49C4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French Maghreb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Literature</w:t>
            </w:r>
            <w:proofErr w:type="spellEnd"/>
          </w:p>
        </w:tc>
      </w:tr>
    </w:tbl>
    <w:p w:rsidR="00F701E2" w:rsidRDefault="00F701E2" w:rsidP="00F701E2">
      <w:pPr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701E2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F701E2" w:rsidTr="007C49C4">
        <w:trPr>
          <w:cantSplit/>
          <w:trHeight w:val="36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 Obszaru Językowego</w:t>
            </w:r>
          </w:p>
        </w:tc>
      </w:tr>
      <w:tr w:rsidR="00F701E2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1E2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01E2" w:rsidRDefault="00F701E2" w:rsidP="00F701E2">
      <w:pPr>
        <w:jc w:val="center"/>
        <w:rPr>
          <w:rFonts w:ascii="Arial" w:eastAsia="Calibri" w:hAnsi="Arial" w:cs="Arial"/>
          <w:sz w:val="20"/>
          <w:szCs w:val="20"/>
        </w:rPr>
      </w:pPr>
    </w:p>
    <w:p w:rsidR="00F701E2" w:rsidRDefault="00F701E2" w:rsidP="00F701E2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Opis kursu (cele kształcenia)</w:t>
      </w:r>
    </w:p>
    <w:p w:rsidR="00F701E2" w:rsidRDefault="00F701E2" w:rsidP="00F701E2">
      <w:pPr>
        <w:rPr>
          <w:rFonts w:ascii="Arial" w:eastAsia="Calibri" w:hAnsi="Arial" w:cs="Arial"/>
          <w:szCs w:val="16"/>
        </w:rPr>
      </w:pPr>
    </w:p>
    <w:tbl>
      <w:tblPr>
        <w:tblW w:w="1928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w:rsidR="00F701E2" w:rsidTr="007C49C4">
        <w:trPr>
          <w:trHeight w:val="1365"/>
        </w:trPr>
        <w:tc>
          <w:tcPr>
            <w:tcW w:w="9640" w:type="dxa"/>
          </w:tcPr>
          <w:p w:rsidR="00F701E2" w:rsidRPr="004A3CD9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A3CD9">
              <w:rPr>
                <w:rFonts w:ascii="Arial" w:eastAsia="Calibri" w:hAnsi="Arial" w:cs="Arial"/>
                <w:sz w:val="20"/>
                <w:szCs w:val="20"/>
              </w:rPr>
              <w:t xml:space="preserve">Student poznaje ewolucyjny charakter francuskojęzycznej literatury </w:t>
            </w:r>
            <w:proofErr w:type="spellStart"/>
            <w:r w:rsidRPr="004A3CD9">
              <w:rPr>
                <w:rFonts w:ascii="Arial" w:eastAsia="Calibri" w:hAnsi="Arial" w:cs="Arial"/>
                <w:sz w:val="20"/>
                <w:szCs w:val="20"/>
              </w:rPr>
              <w:t>Maghrebu</w:t>
            </w:r>
            <w:proofErr w:type="spellEnd"/>
            <w:r w:rsidRPr="004A3CD9">
              <w:rPr>
                <w:rFonts w:ascii="Arial" w:eastAsia="Calibri" w:hAnsi="Arial" w:cs="Arial"/>
                <w:sz w:val="20"/>
                <w:szCs w:val="20"/>
              </w:rPr>
              <w:t>; od powieści „etnograficznych” z lat pięćdziesiątych i sześćdziesiątych XX w. po „postmodernistyczne rozproszenie” i literaturę postkolonialną.</w:t>
            </w:r>
          </w:p>
        </w:tc>
        <w:tc>
          <w:tcPr>
            <w:tcW w:w="9640" w:type="dxa"/>
          </w:tcPr>
          <w:p w:rsidR="00F701E2" w:rsidRDefault="00F701E2" w:rsidP="007C49C4">
            <w:pPr>
              <w:rPr>
                <w:rFonts w:ascii="Arial" w:eastAsia="Calibri" w:hAnsi="Arial" w:cs="Arial"/>
                <w:szCs w:val="16"/>
              </w:rPr>
            </w:pPr>
          </w:p>
        </w:tc>
      </w:tr>
    </w:tbl>
    <w:p w:rsidR="00F701E2" w:rsidRDefault="00F701E2" w:rsidP="00F701E2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Warunki wstępne</w:t>
      </w: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701E2" w:rsidTr="007C49C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701E2" w:rsidRPr="004A3CD9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A3CD9">
              <w:rPr>
                <w:rFonts w:ascii="Arial" w:eastAsia="Calibri" w:hAnsi="Arial" w:cs="Arial"/>
                <w:sz w:val="20"/>
                <w:szCs w:val="20"/>
              </w:rPr>
              <w:t xml:space="preserve">Wiedza o francuskiej kulturze, literaturze i historii, która pozwoli na zrozumienie bliskich związków miedzy Francją, a krajami </w:t>
            </w:r>
            <w:proofErr w:type="spellStart"/>
            <w:r w:rsidRPr="004A3CD9">
              <w:rPr>
                <w:rFonts w:ascii="Arial" w:eastAsia="Calibri" w:hAnsi="Arial" w:cs="Arial"/>
                <w:sz w:val="20"/>
                <w:szCs w:val="20"/>
              </w:rPr>
              <w:t>Maghrebu</w:t>
            </w:r>
            <w:proofErr w:type="spellEnd"/>
            <w:r w:rsidRPr="004A3CD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F701E2" w:rsidRPr="004A3CD9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Pr="004A3CD9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701E2" w:rsidTr="007C49C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701E2" w:rsidRPr="004A3CD9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4A3CD9">
              <w:rPr>
                <w:rFonts w:ascii="Arial" w:eastAsia="Calibri" w:hAnsi="Arial" w:cs="Arial"/>
                <w:sz w:val="20"/>
                <w:szCs w:val="20"/>
              </w:rPr>
              <w:t>Dobra znajomość języka francuskiego umożliwiająca swobodne czytanie tekstów źródłowych i udział w dyskusji.</w:t>
            </w:r>
          </w:p>
          <w:p w:rsidR="00F701E2" w:rsidRPr="00021575" w:rsidRDefault="00F701E2" w:rsidP="007C49C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701E2" w:rsidTr="007C49C4">
        <w:tc>
          <w:tcPr>
            <w:tcW w:w="1941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F701E2" w:rsidRDefault="00F701E2" w:rsidP="007C49C4">
            <w:pPr>
              <w:rPr>
                <w:rFonts w:ascii="Arial" w:eastAsia="Calibri" w:hAnsi="Arial" w:cs="Arial"/>
                <w:szCs w:val="16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Cs w:val="16"/>
              </w:rPr>
            </w:pPr>
          </w:p>
        </w:tc>
      </w:tr>
    </w:tbl>
    <w:p w:rsidR="00F701E2" w:rsidRDefault="00F701E2" w:rsidP="00F701E2">
      <w:pPr>
        <w:rPr>
          <w:rFonts w:ascii="Arial" w:eastAsia="Calibri" w:hAnsi="Arial" w:cs="Arial"/>
          <w:szCs w:val="14"/>
        </w:rPr>
      </w:pPr>
    </w:p>
    <w:p w:rsidR="00F701E2" w:rsidRDefault="00F701E2" w:rsidP="00F701E2">
      <w:pPr>
        <w:rPr>
          <w:rFonts w:ascii="Arial" w:eastAsia="Calibri" w:hAnsi="Arial" w:cs="Arial"/>
          <w:szCs w:val="14"/>
        </w:rPr>
      </w:pPr>
    </w:p>
    <w:p w:rsidR="00F701E2" w:rsidRDefault="00F701E2" w:rsidP="00F701E2">
      <w:pPr>
        <w:rPr>
          <w:rFonts w:ascii="Arial" w:eastAsia="Calibri" w:hAnsi="Arial" w:cs="Arial"/>
          <w:szCs w:val="14"/>
        </w:rPr>
      </w:pPr>
    </w:p>
    <w:p w:rsidR="00F701E2" w:rsidRDefault="00F701E2" w:rsidP="00F701E2">
      <w:pPr>
        <w:rPr>
          <w:rFonts w:ascii="Arial" w:eastAsia="Calibri" w:hAnsi="Arial" w:cs="Arial"/>
          <w:szCs w:val="16"/>
        </w:rPr>
      </w:pPr>
    </w:p>
    <w:p w:rsidR="00F701E2" w:rsidRPr="00021575" w:rsidRDefault="00F701E2" w:rsidP="00F701E2">
      <w:pPr>
        <w:rPr>
          <w:rFonts w:ascii="Arial" w:eastAsia="Calibri" w:hAnsi="Arial" w:cs="Arial"/>
          <w:sz w:val="16"/>
          <w:szCs w:val="16"/>
        </w:rPr>
      </w:pPr>
    </w:p>
    <w:p w:rsidR="00F701E2" w:rsidRDefault="00F701E2" w:rsidP="00F701E2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lastRenderedPageBreak/>
        <w:t xml:space="preserve">Efekty kształcenia </w:t>
      </w:r>
    </w:p>
    <w:p w:rsidR="00F701E2" w:rsidRDefault="00F701E2" w:rsidP="00F701E2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0"/>
        <w:gridCol w:w="4975"/>
        <w:gridCol w:w="2279"/>
      </w:tblGrid>
      <w:tr w:rsidR="00F701E2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701E2" w:rsidTr="007C49C4">
        <w:trPr>
          <w:cantSplit/>
          <w:trHeight w:val="1838"/>
        </w:trPr>
        <w:tc>
          <w:tcPr>
            <w:tcW w:w="1979" w:type="dxa"/>
            <w:vMerge/>
          </w:tcPr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W01: Student posiada zaawansowaną wiedzę o literaturze i historii (francuskiej i powszechnej)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W02: zna zaawansowaną terminologię  z zakresu filologii romańskiej</w:t>
            </w:r>
          </w:p>
          <w:p w:rsidR="00F701E2" w:rsidRPr="004A3CD9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W03:zna i rozumie w sposób zaawansowany metody analizy i interpretacji dzieł literackich</w:t>
            </w:r>
          </w:p>
          <w:p w:rsidR="00F701E2" w:rsidRPr="004A3CD9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F701E2" w:rsidRPr="00FB2663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B2663">
              <w:rPr>
                <w:rFonts w:ascii="Arial" w:eastAsia="Calibri" w:hAnsi="Arial" w:cs="Arial"/>
                <w:sz w:val="20"/>
                <w:szCs w:val="20"/>
              </w:rPr>
              <w:t>K2_W01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8F6733">
              <w:rPr>
                <w:rFonts w:ascii="Arial" w:eastAsia="Calibri" w:hAnsi="Arial" w:cs="Arial"/>
                <w:sz w:val="20"/>
                <w:szCs w:val="20"/>
              </w:rPr>
              <w:t>K2_W02</w:t>
            </w:r>
          </w:p>
          <w:p w:rsidR="00F701E2" w:rsidRPr="008F6733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Pr="00696A48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96A48">
              <w:rPr>
                <w:rFonts w:ascii="Arial" w:eastAsia="Calibri" w:hAnsi="Arial" w:cs="Arial"/>
                <w:sz w:val="20"/>
                <w:szCs w:val="20"/>
              </w:rPr>
              <w:t>K2_W05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701E2" w:rsidRDefault="00F701E2" w:rsidP="00F701E2">
      <w:pPr>
        <w:rPr>
          <w:rFonts w:ascii="Arial" w:eastAsia="Calibri" w:hAnsi="Arial" w:cs="Arial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701E2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701E2" w:rsidTr="007C49C4">
        <w:trPr>
          <w:cantSplit/>
          <w:trHeight w:val="2116"/>
        </w:trPr>
        <w:tc>
          <w:tcPr>
            <w:tcW w:w="1985" w:type="dxa"/>
            <w:vMerge/>
          </w:tcPr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701E2" w:rsidRPr="00817E0F" w:rsidRDefault="00F701E2" w:rsidP="007C49C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:rsidR="00F701E2" w:rsidRDefault="00F701E2" w:rsidP="007C49C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B799D">
              <w:rPr>
                <w:rFonts w:ascii="Arial" w:eastAsia="Calibri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eastAsia="Calibri" w:hAnsi="Arial" w:cs="Arial"/>
                <w:sz w:val="20"/>
                <w:szCs w:val="20"/>
              </w:rPr>
              <w:t>formułuje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i analizuje problemy badawcze w zakresie historii literatury francuskiej.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CB799D">
              <w:rPr>
                <w:rFonts w:ascii="Arial" w:eastAsia="Calibri" w:hAnsi="Arial" w:cs="Arial"/>
                <w:sz w:val="20"/>
                <w:szCs w:val="20"/>
              </w:rPr>
              <w:t xml:space="preserve">U03: </w:t>
            </w:r>
            <w:r>
              <w:rPr>
                <w:rFonts w:ascii="Arial" w:eastAsia="Calibri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U04: argumentuje z wykorzystaniem poglądów innych autorów, oraz formułuje wnioski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K2_U01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K2_U02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K2_U04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K2_U05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...</w:t>
            </w:r>
          </w:p>
        </w:tc>
      </w:tr>
    </w:tbl>
    <w:p w:rsidR="00F701E2" w:rsidRDefault="00F701E2" w:rsidP="00F701E2">
      <w:pPr>
        <w:rPr>
          <w:rFonts w:ascii="Arial" w:eastAsia="Calibri" w:hAnsi="Arial" w:cs="Arial"/>
          <w:szCs w:val="16"/>
        </w:rPr>
      </w:pPr>
    </w:p>
    <w:p w:rsidR="00F701E2" w:rsidRDefault="00F701E2" w:rsidP="00F701E2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4891"/>
        <w:gridCol w:w="2317"/>
      </w:tblGrid>
      <w:tr w:rsidR="00F701E2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701E2" w:rsidTr="007C49C4">
        <w:trPr>
          <w:cantSplit/>
          <w:trHeight w:val="1984"/>
        </w:trPr>
        <w:tc>
          <w:tcPr>
            <w:tcW w:w="1985" w:type="dxa"/>
            <w:vMerge/>
          </w:tcPr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701E2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K2_K02</w:t>
            </w:r>
          </w:p>
        </w:tc>
      </w:tr>
    </w:tbl>
    <w:p w:rsidR="00F701E2" w:rsidRDefault="00F701E2" w:rsidP="00F701E2">
      <w:pPr>
        <w:rPr>
          <w:rFonts w:ascii="Arial" w:eastAsia="Calibri" w:hAnsi="Arial" w:cs="Arial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701E2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F701E2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F701E2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1E2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1E2" w:rsidTr="007C49C4">
        <w:trPr>
          <w:trHeight w:val="462"/>
        </w:trPr>
        <w:tc>
          <w:tcPr>
            <w:tcW w:w="1611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01E2" w:rsidRDefault="00F701E2" w:rsidP="00F701E2">
      <w:pPr>
        <w:pStyle w:val="Zawartotabeli"/>
        <w:rPr>
          <w:rFonts w:ascii="Arial" w:hAnsi="Arial" w:cs="Arial"/>
          <w:sz w:val="22"/>
          <w:szCs w:val="16"/>
        </w:rPr>
      </w:pPr>
    </w:p>
    <w:p w:rsidR="00F701E2" w:rsidRDefault="00F701E2" w:rsidP="00F701E2">
      <w:pPr>
        <w:pStyle w:val="Zawartotabeli"/>
        <w:rPr>
          <w:rFonts w:ascii="Arial" w:hAnsi="Arial" w:cs="Arial"/>
          <w:sz w:val="22"/>
          <w:szCs w:val="16"/>
        </w:rPr>
      </w:pPr>
    </w:p>
    <w:p w:rsidR="00F701E2" w:rsidRDefault="00F701E2" w:rsidP="00F701E2">
      <w:pPr>
        <w:rPr>
          <w:rFonts w:ascii="Arial" w:eastAsia="Calibri" w:hAnsi="Arial" w:cs="Arial"/>
          <w:szCs w:val="14"/>
        </w:rPr>
      </w:pPr>
      <w:r>
        <w:rPr>
          <w:rFonts w:ascii="Arial" w:eastAsia="Calibri" w:hAnsi="Arial" w:cs="Arial"/>
          <w:szCs w:val="14"/>
        </w:rPr>
        <w:t>Opis metod prowadzenia zajęć</w:t>
      </w:r>
    </w:p>
    <w:p w:rsidR="00F701E2" w:rsidRDefault="00F701E2" w:rsidP="00F701E2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701E2" w:rsidTr="007C49C4">
        <w:trPr>
          <w:trHeight w:val="1920"/>
        </w:trPr>
        <w:tc>
          <w:tcPr>
            <w:tcW w:w="9622" w:type="dxa"/>
          </w:tcPr>
          <w:p w:rsidR="00F701E2" w:rsidRPr="00210C3C" w:rsidRDefault="00F701E2" w:rsidP="007C49C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– wykład</w:t>
            </w:r>
          </w:p>
          <w:p w:rsidR="00F701E2" w:rsidRPr="00210C3C" w:rsidRDefault="00F701E2" w:rsidP="007C49C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- prezentacja multimedialna</w:t>
            </w:r>
          </w:p>
          <w:p w:rsidR="00F701E2" w:rsidRDefault="00F701E2" w:rsidP="007C49C4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dyskusja i analiza wybranych tekstów, element konwersatoryjny</w:t>
            </w:r>
          </w:p>
        </w:tc>
      </w:tr>
    </w:tbl>
    <w:p w:rsidR="00F701E2" w:rsidRDefault="00F701E2" w:rsidP="00F701E2">
      <w:pPr>
        <w:pStyle w:val="Zawartotabeli"/>
        <w:rPr>
          <w:rFonts w:ascii="Arial" w:hAnsi="Arial" w:cs="Arial"/>
          <w:sz w:val="22"/>
          <w:szCs w:val="16"/>
        </w:rPr>
      </w:pPr>
    </w:p>
    <w:p w:rsidR="00F701E2" w:rsidRDefault="00F701E2" w:rsidP="00F701E2">
      <w:pPr>
        <w:pStyle w:val="Zawartotabeli"/>
        <w:rPr>
          <w:rFonts w:ascii="Arial" w:hAnsi="Arial" w:cs="Arial"/>
          <w:sz w:val="22"/>
          <w:szCs w:val="16"/>
        </w:rPr>
      </w:pPr>
    </w:p>
    <w:p w:rsidR="00F701E2" w:rsidRDefault="00F701E2" w:rsidP="00F701E2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F701E2" w:rsidRDefault="00F701E2" w:rsidP="00F701E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590"/>
        <w:gridCol w:w="651"/>
        <w:gridCol w:w="651"/>
        <w:gridCol w:w="651"/>
        <w:gridCol w:w="65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</w:tblGrid>
      <w:tr w:rsidR="00F701E2" w:rsidTr="007C49C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701E2" w:rsidRDefault="00F701E2" w:rsidP="007C49C4">
            <w:pPr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Inne</w:t>
            </w:r>
          </w:p>
        </w:tc>
      </w:tr>
      <w:tr w:rsidR="00F701E2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701E2" w:rsidRDefault="00F701E2" w:rsidP="007C49C4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  <w:tr w:rsidR="00F701E2" w:rsidTr="007C49C4">
        <w:trPr>
          <w:cantSplit/>
          <w:trHeight w:val="205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lastRenderedPageBreak/>
              <w:t>W02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  <w:tr w:rsidR="00F701E2" w:rsidTr="007C49C4">
        <w:trPr>
          <w:cantSplit/>
          <w:trHeight w:val="240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  <w:tr w:rsidR="00F701E2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  <w:tr w:rsidR="00F701E2" w:rsidTr="007C49C4">
        <w:trPr>
          <w:cantSplit/>
          <w:trHeight w:val="180"/>
        </w:trPr>
        <w:tc>
          <w:tcPr>
            <w:tcW w:w="962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  <w:tr w:rsidR="00F701E2" w:rsidTr="007C49C4">
        <w:trPr>
          <w:cantSplit/>
          <w:trHeight w:val="220"/>
        </w:trPr>
        <w:tc>
          <w:tcPr>
            <w:tcW w:w="9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  <w:tr w:rsidR="00F701E2" w:rsidTr="007C49C4">
        <w:trPr>
          <w:cantSplit/>
          <w:trHeight w:val="225"/>
        </w:trPr>
        <w:tc>
          <w:tcPr>
            <w:tcW w:w="962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769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  <w:tr w:rsidR="00F701E2" w:rsidTr="007C49C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  <w:tr w:rsidR="00F701E2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  <w:tr w:rsidR="00F701E2" w:rsidTr="007C49C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F701E2" w:rsidRDefault="00F701E2" w:rsidP="007C49C4">
            <w:pPr>
              <w:rPr>
                <w:rFonts w:ascii="Arial" w:eastAsia="Calibri" w:hAnsi="Arial" w:cs="Arial"/>
              </w:rPr>
            </w:pPr>
          </w:p>
        </w:tc>
      </w:tr>
    </w:tbl>
    <w:p w:rsidR="00F701E2" w:rsidRDefault="00F701E2" w:rsidP="00F701E2">
      <w:pPr>
        <w:pStyle w:val="Zawartotabeli"/>
        <w:rPr>
          <w:rFonts w:ascii="Arial" w:hAnsi="Arial" w:cs="Arial"/>
          <w:sz w:val="22"/>
          <w:szCs w:val="16"/>
        </w:rPr>
      </w:pPr>
    </w:p>
    <w:p w:rsidR="00F701E2" w:rsidRDefault="00F701E2" w:rsidP="00F701E2">
      <w:pPr>
        <w:pStyle w:val="Zawartotabeli"/>
        <w:rPr>
          <w:rFonts w:ascii="Arial" w:hAnsi="Arial" w:cs="Arial"/>
          <w:sz w:val="22"/>
          <w:szCs w:val="16"/>
        </w:rPr>
      </w:pPr>
    </w:p>
    <w:p w:rsidR="00F701E2" w:rsidRDefault="00F701E2" w:rsidP="00F701E2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701E2" w:rsidTr="007C49C4">
        <w:tc>
          <w:tcPr>
            <w:tcW w:w="1941" w:type="dxa"/>
            <w:shd w:val="clear" w:color="auto" w:fill="DBE5F1"/>
            <w:vAlign w:val="center"/>
          </w:tcPr>
          <w:p w:rsidR="00F701E2" w:rsidRDefault="00F701E2" w:rsidP="007C49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F701E2" w:rsidRDefault="00F701E2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udział w dyskusji w czasie zajęć, </w:t>
            </w:r>
            <w:r>
              <w:rPr>
                <w:rFonts w:ascii="Arial" w:hAnsi="Arial" w:cs="Arial"/>
                <w:sz w:val="20"/>
                <w:szCs w:val="20"/>
              </w:rPr>
              <w:t xml:space="preserve">przygotowanie referatu, </w:t>
            </w:r>
            <w:r w:rsidR="0030527A">
              <w:rPr>
                <w:rFonts w:ascii="Arial" w:hAnsi="Arial" w:cs="Arial"/>
                <w:sz w:val="20"/>
                <w:szCs w:val="20"/>
              </w:rPr>
              <w:t>zaliczenie na ocenę.</w:t>
            </w:r>
            <w:bookmarkStart w:id="0" w:name="_GoBack"/>
            <w:bookmarkEnd w:id="0"/>
          </w:p>
          <w:p w:rsidR="00F701E2" w:rsidRDefault="00F701E2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F701E2" w:rsidRDefault="00F701E2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F701E2" w:rsidRDefault="00F701E2" w:rsidP="00F701E2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701E2" w:rsidTr="007C49C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F701E2" w:rsidRDefault="00F701E2" w:rsidP="007C49C4">
            <w:pPr>
              <w:spacing w:after="57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F701E2" w:rsidRDefault="00F701E2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F701E2" w:rsidRDefault="00F701E2" w:rsidP="007C49C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F701E2" w:rsidRDefault="00F701E2" w:rsidP="00F701E2">
      <w:pPr>
        <w:rPr>
          <w:rFonts w:ascii="Arial" w:eastAsia="Calibri" w:hAnsi="Arial" w:cs="Arial"/>
        </w:rPr>
      </w:pPr>
    </w:p>
    <w:p w:rsidR="00F701E2" w:rsidRDefault="00F701E2" w:rsidP="00F701E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Treści merytoryczne (wykaz tematów)</w:t>
      </w:r>
    </w:p>
    <w:p w:rsidR="00F701E2" w:rsidRDefault="00F701E2" w:rsidP="00F701E2">
      <w:pPr>
        <w:rPr>
          <w:rFonts w:ascii="Arial" w:eastAsia="Calibri" w:hAnsi="Arial" w:cs="Arial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4"/>
      </w:tblGrid>
      <w:tr w:rsidR="00F701E2" w:rsidTr="007C49C4">
        <w:trPr>
          <w:trHeight w:val="1136"/>
        </w:trPr>
        <w:tc>
          <w:tcPr>
            <w:tcW w:w="9622" w:type="dxa"/>
            <w:tcBorders>
              <w:left w:val="nil"/>
              <w:bottom w:val="nil"/>
              <w:right w:val="nil"/>
            </w:tcBorders>
          </w:tcPr>
          <w:tbl>
            <w:tblPr>
              <w:tblW w:w="0" w:type="auto"/>
              <w:tblInd w:w="5" w:type="dxa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89"/>
            </w:tblGrid>
            <w:tr w:rsidR="00F701E2" w:rsidRPr="00993CD5" w:rsidTr="007C49C4">
              <w:trPr>
                <w:trHeight w:val="665"/>
              </w:trPr>
              <w:tc>
                <w:tcPr>
                  <w:tcW w:w="947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701E2" w:rsidRPr="00993CD5" w:rsidRDefault="00F701E2" w:rsidP="007C49C4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993CD5">
                    <w:rPr>
                      <w:rFonts w:ascii="Arial" w:eastAsia="Calibri" w:hAnsi="Arial" w:cs="Arial"/>
                      <w:sz w:val="20"/>
                      <w:szCs w:val="20"/>
                    </w:rPr>
                    <w:t>Powieść „</w:t>
                  </w:r>
                  <w:proofErr w:type="spellStart"/>
                  <w:r w:rsidRPr="00993CD5">
                    <w:rPr>
                      <w:rFonts w:ascii="Arial" w:eastAsia="Calibri" w:hAnsi="Arial" w:cs="Arial"/>
                      <w:sz w:val="20"/>
                      <w:szCs w:val="20"/>
                    </w:rPr>
                    <w:t>akulturacyjna</w:t>
                  </w:r>
                  <w:proofErr w:type="spellEnd"/>
                  <w:r w:rsidRPr="00993CD5">
                    <w:rPr>
                      <w:rFonts w:ascii="Arial" w:eastAsia="Calibri" w:hAnsi="Arial" w:cs="Arial"/>
                      <w:sz w:val="20"/>
                      <w:szCs w:val="20"/>
                    </w:rPr>
                    <w:t>”, głos grupowy, oskarżycielski – lata pięćdziesiąte i sześćdziesiąte XX w.</w:t>
                  </w:r>
                </w:p>
                <w:p w:rsidR="00F701E2" w:rsidRPr="00993CD5" w:rsidRDefault="00F701E2" w:rsidP="007C49C4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993CD5">
                    <w:rPr>
                      <w:rFonts w:ascii="Arial" w:eastAsia="Calibri" w:hAnsi="Arial" w:cs="Arial"/>
                      <w:sz w:val="20"/>
                      <w:szCs w:val="20"/>
                    </w:rPr>
                    <w:t>Literatura buntownicza; między tradycją a nowoczesnością.</w:t>
                  </w:r>
                </w:p>
                <w:p w:rsidR="00F701E2" w:rsidRDefault="00F701E2" w:rsidP="007C49C4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993CD5">
                    <w:rPr>
                      <w:rFonts w:ascii="Arial" w:eastAsia="Calibri" w:hAnsi="Arial" w:cs="Arial"/>
                      <w:sz w:val="20"/>
                      <w:szCs w:val="20"/>
                    </w:rPr>
                    <w:t>Literatura najnowsza; pisarstwo kobiet, indywidualizm, powrót do korzeni.</w:t>
                  </w:r>
                </w:p>
                <w:p w:rsidR="00F701E2" w:rsidRPr="00993CD5" w:rsidRDefault="00F701E2" w:rsidP="007C49C4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autoSpaceDE w:val="0"/>
                    <w:spacing w:after="0" w:line="240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Literatura postkolonialna.</w:t>
                  </w:r>
                </w:p>
              </w:tc>
            </w:tr>
          </w:tbl>
          <w:p w:rsidR="00F701E2" w:rsidRDefault="00F701E2" w:rsidP="007C49C4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F701E2" w:rsidRDefault="00F701E2" w:rsidP="00F701E2">
      <w:pPr>
        <w:rPr>
          <w:rFonts w:ascii="Arial" w:eastAsia="Calibri" w:hAnsi="Arial" w:cs="Arial"/>
        </w:rPr>
      </w:pPr>
    </w:p>
    <w:p w:rsidR="00F701E2" w:rsidRDefault="00F701E2" w:rsidP="00F701E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701E2" w:rsidRPr="0030527A" w:rsidTr="007C49C4">
        <w:trPr>
          <w:trHeight w:val="1098"/>
        </w:trPr>
        <w:tc>
          <w:tcPr>
            <w:tcW w:w="9284" w:type="dxa"/>
          </w:tcPr>
          <w:p w:rsidR="00F701E2" w:rsidRPr="00993CD5" w:rsidRDefault="00F701E2" w:rsidP="007C49C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J. </w:t>
            </w:r>
            <w:proofErr w:type="spellStart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Déjeux</w:t>
            </w:r>
            <w:proofErr w:type="spellEnd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</w:t>
            </w:r>
            <w:r w:rsidRPr="00993CD5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>La littérature maghrébine d’expression française</w:t>
            </w: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, PUF, coll. «Que sais-je?»,  2675, 1992.</w:t>
            </w:r>
          </w:p>
          <w:p w:rsidR="00F701E2" w:rsidRPr="00993CD5" w:rsidRDefault="00F701E2" w:rsidP="007C49C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J. </w:t>
            </w:r>
            <w:proofErr w:type="spellStart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Déjeux</w:t>
            </w:r>
            <w:proofErr w:type="spellEnd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</w:t>
            </w:r>
            <w:r w:rsidRPr="00993CD5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>La littérature maghrébine de langue française</w:t>
            </w: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, Ottawa, Naaman, 1973.</w:t>
            </w:r>
          </w:p>
          <w:p w:rsidR="00F701E2" w:rsidRPr="00993CD5" w:rsidRDefault="00F701E2" w:rsidP="007C49C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>Littératures francophones du monde arabe</w:t>
            </w: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anthologie sous la direction de J.-L. Joubert, Nathan, Al. </w:t>
            </w:r>
            <w:proofErr w:type="spellStart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Madariss</w:t>
            </w:r>
            <w:proofErr w:type="spellEnd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. 1994.</w:t>
            </w:r>
          </w:p>
          <w:p w:rsidR="00F701E2" w:rsidRPr="00993CD5" w:rsidRDefault="00F701E2" w:rsidP="007C49C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J. </w:t>
            </w:r>
            <w:proofErr w:type="spellStart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Noiray</w:t>
            </w:r>
            <w:proofErr w:type="spellEnd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,</w:t>
            </w:r>
            <w:r w:rsidRPr="00993CD5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 xml:space="preserve"> Le Maghreb</w:t>
            </w: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, Belin, 1996.</w:t>
            </w:r>
          </w:p>
          <w:p w:rsidR="00F701E2" w:rsidRPr="00993CD5" w:rsidRDefault="00F701E2" w:rsidP="007C49C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A. Memmi, </w:t>
            </w:r>
            <w:r w:rsidRPr="00993CD5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>Littératures francophones du Maghreb. Anthologie</w:t>
            </w: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, Seghers, 1985.</w:t>
            </w:r>
          </w:p>
          <w:p w:rsidR="00F701E2" w:rsidRPr="00993CD5" w:rsidRDefault="00F701E2" w:rsidP="007C49C4">
            <w:pPr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993CD5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lastRenderedPageBreak/>
              <w:t>Littérature francophone. I. Le Roman</w:t>
            </w:r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, présenté par Charles Bonn et Xavier Garnier, Hatier-</w:t>
            </w:r>
            <w:proofErr w:type="spellStart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Aupelf</w:t>
            </w:r>
            <w:proofErr w:type="spellEnd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Uref</w:t>
            </w:r>
            <w:proofErr w:type="spellEnd"/>
            <w:r w:rsidRPr="00993CD5">
              <w:rPr>
                <w:rFonts w:ascii="Arial" w:eastAsia="Calibri" w:hAnsi="Arial" w:cs="Arial"/>
                <w:sz w:val="20"/>
                <w:szCs w:val="20"/>
                <w:lang w:val="fr-FR"/>
              </w:rPr>
              <w:t>, 1997.</w:t>
            </w:r>
          </w:p>
        </w:tc>
      </w:tr>
    </w:tbl>
    <w:p w:rsidR="00F701E2" w:rsidRPr="00993CD5" w:rsidRDefault="00F701E2" w:rsidP="00F701E2">
      <w:pPr>
        <w:rPr>
          <w:rFonts w:ascii="Arial" w:eastAsia="Calibri" w:hAnsi="Arial" w:cs="Arial"/>
          <w:sz w:val="20"/>
          <w:szCs w:val="20"/>
          <w:lang w:val="fr-FR"/>
        </w:rPr>
      </w:pPr>
    </w:p>
    <w:p w:rsidR="00F701E2" w:rsidRDefault="00F701E2" w:rsidP="00F701E2">
      <w:pPr>
        <w:rPr>
          <w:rFonts w:ascii="Arial" w:eastAsia="Calibri" w:hAnsi="Arial" w:cs="Arial"/>
          <w:szCs w:val="16"/>
        </w:rPr>
      </w:pPr>
      <w:r>
        <w:rPr>
          <w:rFonts w:ascii="Arial" w:eastAsia="Calibri" w:hAnsi="Arial" w:cs="Arial"/>
          <w:szCs w:val="16"/>
        </w:rPr>
        <w:t>Wykaz literatury uzupełniającej</w:t>
      </w: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F701E2" w:rsidTr="007C49C4">
        <w:trPr>
          <w:trHeight w:val="1112"/>
        </w:trPr>
        <w:tc>
          <w:tcPr>
            <w:tcW w:w="9622" w:type="dxa"/>
          </w:tcPr>
          <w:p w:rsidR="00F701E2" w:rsidRPr="0076190E" w:rsidRDefault="00F701E2" w:rsidP="007C49C4">
            <w:pPr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1. Ch. Bonn, </w:t>
            </w:r>
            <w:r w:rsidRPr="0076190E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>Le Roman algérien de langue française (vers un es pace de Communications décolonisé?)</w:t>
            </w: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L’Harmattan</w:t>
            </w:r>
            <w:proofErr w:type="spellEnd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, 1985.</w:t>
            </w:r>
          </w:p>
          <w:p w:rsidR="00F701E2" w:rsidRPr="0076190E" w:rsidRDefault="00F701E2" w:rsidP="007C49C4">
            <w:pPr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2. </w:t>
            </w:r>
            <w:r w:rsidRPr="0076190E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>Poétiques croisées du Maghreb</w:t>
            </w: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, Itinéraires et Contacts</w:t>
            </w:r>
            <w:r w:rsidRPr="0076190E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 xml:space="preserve"> </w:t>
            </w: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de Cultures, vol.14, </w:t>
            </w:r>
            <w:proofErr w:type="spellStart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L’Harmattan</w:t>
            </w:r>
            <w:proofErr w:type="spellEnd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, 1991.</w:t>
            </w:r>
          </w:p>
          <w:p w:rsidR="00F701E2" w:rsidRPr="0076190E" w:rsidRDefault="00F701E2" w:rsidP="007C49C4">
            <w:pPr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3. O. </w:t>
            </w:r>
            <w:proofErr w:type="spellStart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Madelain</w:t>
            </w:r>
            <w:proofErr w:type="spellEnd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</w:t>
            </w:r>
            <w:r w:rsidRPr="0076190E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 xml:space="preserve">L’errance et la littérature, lecture du </w:t>
            </w:r>
            <w:proofErr w:type="spellStart"/>
            <w:r w:rsidRPr="0076190E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>rman</w:t>
            </w:r>
            <w:proofErr w:type="spellEnd"/>
            <w:r w:rsidRPr="0076190E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 xml:space="preserve"> maghrébin de langue française</w:t>
            </w: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P., </w:t>
            </w:r>
            <w:proofErr w:type="spellStart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Sindbad</w:t>
            </w:r>
            <w:proofErr w:type="spellEnd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, 1983.</w:t>
            </w:r>
          </w:p>
          <w:p w:rsidR="00F701E2" w:rsidRPr="0076190E" w:rsidRDefault="00F701E2" w:rsidP="007C49C4">
            <w:pPr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4. B. </w:t>
            </w:r>
            <w:proofErr w:type="spellStart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Mouralis</w:t>
            </w:r>
            <w:proofErr w:type="spellEnd"/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, </w:t>
            </w:r>
            <w:r w:rsidRPr="0076190E">
              <w:rPr>
                <w:rFonts w:ascii="Arial" w:eastAsia="Calibri" w:hAnsi="Arial" w:cs="Arial"/>
                <w:i/>
                <w:sz w:val="20"/>
                <w:szCs w:val="20"/>
                <w:lang w:val="fr-FR"/>
              </w:rPr>
              <w:t>Les contre-littératures</w:t>
            </w: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, PUF, 1975.</w:t>
            </w:r>
          </w:p>
          <w:p w:rsidR="00F701E2" w:rsidRPr="0076190E" w:rsidRDefault="00F701E2" w:rsidP="007C49C4">
            <w:pPr>
              <w:rPr>
                <w:rFonts w:ascii="Arial" w:eastAsia="Calibri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fr-FR"/>
              </w:rPr>
              <w:t xml:space="preserve">5. </w:t>
            </w:r>
            <w:r w:rsidRPr="0076190E">
              <w:rPr>
                <w:rFonts w:ascii="Arial" w:eastAsia="Calibri" w:hAnsi="Arial" w:cs="Arial"/>
                <w:sz w:val="20"/>
                <w:szCs w:val="20"/>
                <w:lang w:val="fr-FR"/>
              </w:rPr>
              <w:t>Littérature et développement, Silex éditions, 1984.</w:t>
            </w:r>
          </w:p>
          <w:p w:rsidR="00F701E2" w:rsidRPr="0076190E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90E">
              <w:rPr>
                <w:rFonts w:ascii="Arial" w:eastAsia="Calibri" w:hAnsi="Arial" w:cs="Arial"/>
                <w:sz w:val="20"/>
                <w:szCs w:val="20"/>
              </w:rPr>
              <w:t xml:space="preserve">6. L. Gandhi, </w:t>
            </w:r>
            <w:r w:rsidRPr="0076190E">
              <w:rPr>
                <w:rFonts w:ascii="Arial" w:eastAsia="Calibri" w:hAnsi="Arial" w:cs="Arial"/>
                <w:i/>
                <w:sz w:val="20"/>
                <w:szCs w:val="20"/>
              </w:rPr>
              <w:t>Teoria postkolonialna. Wprowadzenie krytyczne</w:t>
            </w:r>
            <w:r w:rsidRPr="0076190E">
              <w:rPr>
                <w:rFonts w:ascii="Arial" w:eastAsia="Calibri" w:hAnsi="Arial" w:cs="Arial"/>
                <w:sz w:val="20"/>
                <w:szCs w:val="20"/>
              </w:rPr>
              <w:t>, Poznań, 2008.</w:t>
            </w:r>
          </w:p>
          <w:p w:rsidR="00F701E2" w:rsidRPr="0076190E" w:rsidRDefault="00F701E2" w:rsidP="007C49C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6190E">
              <w:rPr>
                <w:rFonts w:ascii="Arial" w:eastAsia="Calibri" w:hAnsi="Arial" w:cs="Arial"/>
                <w:sz w:val="20"/>
                <w:szCs w:val="20"/>
              </w:rPr>
              <w:t xml:space="preserve">7. G. Ch. </w:t>
            </w:r>
            <w:proofErr w:type="spellStart"/>
            <w:r w:rsidRPr="0076190E">
              <w:rPr>
                <w:rFonts w:ascii="Arial" w:eastAsia="Calibri" w:hAnsi="Arial" w:cs="Arial"/>
                <w:sz w:val="20"/>
                <w:szCs w:val="20"/>
              </w:rPr>
              <w:t>Spivak</w:t>
            </w:r>
            <w:proofErr w:type="spellEnd"/>
            <w:r w:rsidRPr="0076190E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Pr="0076190E">
              <w:rPr>
                <w:rFonts w:ascii="Arial" w:eastAsia="Calibri" w:hAnsi="Arial" w:cs="Arial"/>
                <w:i/>
                <w:sz w:val="20"/>
                <w:szCs w:val="20"/>
              </w:rPr>
              <w:t>Strategie postkolonialne</w:t>
            </w:r>
            <w:r w:rsidRPr="0076190E">
              <w:rPr>
                <w:rFonts w:ascii="Arial" w:eastAsia="Calibri" w:hAnsi="Arial" w:cs="Arial"/>
                <w:sz w:val="20"/>
                <w:szCs w:val="20"/>
              </w:rPr>
              <w:t>, Warszawa, 2011.</w:t>
            </w:r>
          </w:p>
        </w:tc>
        <w:tc>
          <w:tcPr>
            <w:tcW w:w="9622" w:type="dxa"/>
          </w:tcPr>
          <w:p w:rsidR="00F701E2" w:rsidRDefault="00F701E2" w:rsidP="007C49C4">
            <w:pPr>
              <w:rPr>
                <w:rFonts w:ascii="Arial" w:eastAsia="Calibri" w:hAnsi="Arial" w:cs="Arial"/>
                <w:szCs w:val="16"/>
              </w:rPr>
            </w:pPr>
          </w:p>
        </w:tc>
      </w:tr>
    </w:tbl>
    <w:p w:rsidR="00F701E2" w:rsidRDefault="00F701E2" w:rsidP="00F701E2">
      <w:pPr>
        <w:pStyle w:val="Tekstdymka1"/>
        <w:rPr>
          <w:rFonts w:ascii="Arial" w:hAnsi="Arial" w:cs="Arial"/>
          <w:sz w:val="22"/>
        </w:rPr>
      </w:pPr>
    </w:p>
    <w:p w:rsidR="00F701E2" w:rsidRDefault="00F701E2" w:rsidP="00F701E2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F701E2" w:rsidRDefault="00F701E2" w:rsidP="00F701E2">
      <w:pPr>
        <w:rPr>
          <w:rFonts w:ascii="Arial" w:eastAsia="Calibri" w:hAnsi="Arial" w:cs="Arial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F701E2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701E2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F701E2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F701E2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701E2" w:rsidRDefault="00F701E2" w:rsidP="007C49C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F701E2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F701E2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701E2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F701E2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90</w:t>
            </w:r>
          </w:p>
        </w:tc>
      </w:tr>
      <w:tr w:rsidR="00F701E2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701E2" w:rsidRDefault="00F701E2" w:rsidP="007C49C4">
            <w:pPr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701E2" w:rsidRDefault="00F701E2" w:rsidP="007C49C4">
            <w:pPr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DF2CAC"/>
    <w:multiLevelType w:val="hybridMultilevel"/>
    <w:tmpl w:val="4C745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443CC"/>
    <w:multiLevelType w:val="hybridMultilevel"/>
    <w:tmpl w:val="7B48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E2"/>
    <w:rsid w:val="00185CBC"/>
    <w:rsid w:val="0030527A"/>
    <w:rsid w:val="00CE5F3A"/>
    <w:rsid w:val="00F7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3119"/>
  <w15:chartTrackingRefBased/>
  <w15:docId w15:val="{1500FF3F-B14B-428E-AD64-01F8FFC2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01E2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F701E2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01E2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F701E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F701E2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2018-06-12T16:29:00Z</dcterms:created>
  <dcterms:modified xsi:type="dcterms:W3CDTF">2018-10-23T09:41:00Z</dcterms:modified>
</cp:coreProperties>
</file>